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5248" w14:textId="77777777" w:rsidR="002E6BCA" w:rsidRPr="00AD205B" w:rsidRDefault="002E6BCA" w:rsidP="002E6B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205B">
        <w:rPr>
          <w:rFonts w:ascii="Arial" w:hAnsi="Arial" w:cs="Arial"/>
        </w:rPr>
        <w:t>$</w:t>
      </w:r>
      <w:proofErr w:type="spellStart"/>
      <w:r w:rsidRPr="00AD205B">
        <w:rPr>
          <w:rFonts w:ascii="Arial" w:hAnsi="Arial" w:cs="Arial"/>
        </w:rPr>
        <w:t>cabecalho</w:t>
      </w:r>
      <w:proofErr w:type="spellEnd"/>
    </w:p>
    <w:p w14:paraId="3C4361A2" w14:textId="77777777" w:rsidR="002E6BCA" w:rsidRPr="00AD205B" w:rsidRDefault="002E6BCA" w:rsidP="002E6B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205B">
        <w:rPr>
          <w:rFonts w:ascii="Arial" w:hAnsi="Arial" w:cs="Arial"/>
        </w:rPr>
        <w:t>$</w:t>
      </w:r>
      <w:proofErr w:type="spellStart"/>
      <w:r w:rsidRPr="00AD205B">
        <w:rPr>
          <w:rFonts w:ascii="Arial" w:hAnsi="Arial" w:cs="Arial"/>
        </w:rPr>
        <w:t>dadosProcesso</w:t>
      </w:r>
      <w:proofErr w:type="spellEnd"/>
    </w:p>
    <w:p w14:paraId="67D9ED21" w14:textId="77777777" w:rsidR="002E6BCA" w:rsidRPr="00AD205B" w:rsidRDefault="002E6BCA" w:rsidP="002E6BC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D205B">
        <w:rPr>
          <w:rFonts w:ascii="Arial" w:hAnsi="Arial" w:cs="Arial"/>
          <w:b/>
          <w:bCs/>
        </w:rPr>
        <w:t>CARTA DE INTIMAÇÃO</w:t>
      </w:r>
    </w:p>
    <w:p w14:paraId="5657F2DC" w14:textId="77777777" w:rsidR="002E6BCA" w:rsidRPr="00AD205B" w:rsidRDefault="002E6BCA" w:rsidP="002E6BCA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AD205B">
        <w:rPr>
          <w:rFonts w:eastAsia="Times New Roman" w:cs="Arial"/>
          <w:b/>
          <w:bCs/>
          <w:szCs w:val="24"/>
          <w:lang w:eastAsia="pt-BR"/>
        </w:rPr>
        <w:t>parteSelecionadaNomeEndereco</w:t>
      </w:r>
      <w:proofErr w:type="spellEnd"/>
    </w:p>
    <w:p w14:paraId="0DC5A270" w14:textId="77777777" w:rsidR="002E6BCA" w:rsidRPr="00366C50" w:rsidRDefault="002E6BCA" w:rsidP="002E6BCA">
      <w:pPr>
        <w:spacing w:after="0" w:line="240" w:lineRule="auto"/>
        <w:rPr>
          <w:rFonts w:eastAsia="Times New Roman" w:cs="Arial"/>
          <w:b/>
          <w:bCs/>
          <w:szCs w:val="24"/>
          <w:lang w:eastAsia="pt-BR"/>
        </w:rPr>
      </w:pPr>
      <w:proofErr w:type="gramStart"/>
      <w:r w:rsidRPr="00366C50">
        <w:rPr>
          <w:rFonts w:eastAsia="Times New Roman" w:cs="Arial"/>
          <w:b/>
          <w:bCs/>
          <w:szCs w:val="24"/>
          <w:lang w:eastAsia="pt-BR"/>
        </w:rPr>
        <w:t>Prezado(</w:t>
      </w:r>
      <w:proofErr w:type="gramEnd"/>
      <w:r w:rsidRPr="00366C50">
        <w:rPr>
          <w:rFonts w:eastAsia="Times New Roman" w:cs="Arial"/>
          <w:b/>
          <w:bCs/>
          <w:szCs w:val="24"/>
          <w:lang w:eastAsia="pt-BR"/>
        </w:rPr>
        <w:t>a) Senhor(a),</w:t>
      </w:r>
    </w:p>
    <w:p w14:paraId="6E44A06A" w14:textId="1804687D" w:rsidR="002E6BCA" w:rsidRPr="00DF053F" w:rsidRDefault="002E6BCA" w:rsidP="002E6BCA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B61046">
        <w:rPr>
          <w:rFonts w:eastAsia="Times New Roman" w:cs="Arial"/>
          <w:szCs w:val="24"/>
          <w:lang w:eastAsia="pt-BR"/>
        </w:rPr>
        <w:t xml:space="preserve">Por meio desta, </w:t>
      </w:r>
      <w:r>
        <w:rPr>
          <w:rFonts w:eastAsia="Times New Roman" w:cs="Arial"/>
          <w:szCs w:val="24"/>
          <w:lang w:eastAsia="pt-BR"/>
        </w:rPr>
        <w:t>e</w:t>
      </w:r>
      <w:r w:rsidRPr="00AD205B">
        <w:rPr>
          <w:rFonts w:eastAsia="Times New Roman" w:cs="Arial"/>
          <w:szCs w:val="24"/>
          <w:lang w:eastAsia="pt-BR"/>
        </w:rPr>
        <w:t xml:space="preserve">m cumprimento ao procedimento regulamentado pela Instrução Normativa </w:t>
      </w:r>
      <w:r>
        <w:rPr>
          <w:rFonts w:eastAsia="Times New Roman" w:cs="Arial"/>
          <w:szCs w:val="24"/>
          <w:lang w:eastAsia="pt-BR"/>
        </w:rPr>
        <w:t xml:space="preserve">nº </w:t>
      </w:r>
      <w:r w:rsidRPr="00AD205B">
        <w:rPr>
          <w:rFonts w:eastAsia="Times New Roman" w:cs="Arial"/>
          <w:szCs w:val="24"/>
          <w:lang w:eastAsia="pt-BR"/>
        </w:rPr>
        <w:t>12/2017 da Corregedoria</w:t>
      </w:r>
      <w:r w:rsidRPr="00AD205B">
        <w:rPr>
          <w:rFonts w:eastAsia="Times New Roman" w:cs="Arial"/>
          <w:lang w:eastAsia="pt-BR"/>
        </w:rPr>
        <w:t>-</w:t>
      </w:r>
      <w:r w:rsidRPr="00AD205B">
        <w:rPr>
          <w:rFonts w:eastAsia="Times New Roman" w:cs="Arial"/>
          <w:szCs w:val="24"/>
          <w:lang w:eastAsia="pt-BR"/>
        </w:rPr>
        <w:t xml:space="preserve">Geral </w:t>
      </w:r>
      <w:r w:rsidRPr="00AD205B">
        <w:rPr>
          <w:rFonts w:eastAsia="Times New Roman" w:cs="Arial"/>
          <w:lang w:eastAsia="pt-BR"/>
        </w:rPr>
        <w:t>da</w:t>
      </w:r>
      <w:r w:rsidRPr="00AD205B">
        <w:rPr>
          <w:rFonts w:eastAsia="Times New Roman" w:cs="Arial"/>
          <w:szCs w:val="24"/>
          <w:lang w:eastAsia="pt-BR"/>
        </w:rPr>
        <w:t xml:space="preserve"> Justiça do </w:t>
      </w:r>
      <w:r w:rsidRPr="00AD205B">
        <w:rPr>
          <w:rFonts w:eastAsia="Times New Roman" w:cs="Arial"/>
          <w:lang w:eastAsia="pt-BR"/>
        </w:rPr>
        <w:t>TJPR</w:t>
      </w:r>
      <w:r w:rsidRPr="00AD205B">
        <w:rPr>
          <w:rFonts w:eastAsia="Times New Roman" w:cs="Arial"/>
          <w:szCs w:val="24"/>
          <w:lang w:eastAsia="pt-BR"/>
        </w:rPr>
        <w:t xml:space="preserve">, fica Vossa Senhoria </w:t>
      </w:r>
      <w:r w:rsidRPr="00AD205B">
        <w:rPr>
          <w:rFonts w:eastAsia="Times New Roman" w:cs="Arial"/>
          <w:b/>
          <w:szCs w:val="24"/>
          <w:u w:val="single"/>
          <w:lang w:eastAsia="pt-BR"/>
        </w:rPr>
        <w:t>INTIMADO(A)</w:t>
      </w:r>
      <w:r w:rsidRPr="00AD205B">
        <w:rPr>
          <w:rFonts w:eastAsia="Times New Roman" w:cs="Arial"/>
          <w:szCs w:val="24"/>
          <w:lang w:eastAsia="pt-BR"/>
        </w:rPr>
        <w:t xml:space="preserve"> a </w:t>
      </w:r>
      <w:r>
        <w:rPr>
          <w:rFonts w:eastAsia="Times New Roman" w:cs="Arial"/>
          <w:szCs w:val="24"/>
          <w:lang w:eastAsia="pt-BR"/>
        </w:rPr>
        <w:t>efetuar</w:t>
      </w:r>
      <w:r>
        <w:rPr>
          <w:rFonts w:eastAsia="Arial" w:cs="Arial"/>
          <w:lang w:eastAsia="pt-BR"/>
        </w:rPr>
        <w:t xml:space="preserve"> </w:t>
      </w:r>
      <w:r w:rsidRPr="00DF053F">
        <w:rPr>
          <w:rFonts w:eastAsia="Times New Roman" w:cs="Arial"/>
          <w:szCs w:val="24"/>
          <w:lang w:eastAsia="pt-BR"/>
        </w:rPr>
        <w:t xml:space="preserve">o pagamento das custas finais no prazo de vencimento da guia </w:t>
      </w:r>
      <w:r w:rsidR="00D52CFC">
        <w:rPr>
          <w:rFonts w:eastAsia="Times New Roman" w:cs="Arial"/>
          <w:szCs w:val="24"/>
          <w:lang w:eastAsia="pt-BR"/>
        </w:rPr>
        <w:t>de recolhimento de custas</w:t>
      </w:r>
      <w:r>
        <w:rPr>
          <w:vertAlign w:val="superscript"/>
        </w:rPr>
        <w:t>1</w:t>
      </w:r>
      <w:r w:rsidRPr="00AD205B">
        <w:rPr>
          <w:rFonts w:eastAsia="Times New Roman" w:cs="Arial"/>
          <w:szCs w:val="24"/>
          <w:lang w:eastAsia="pt-BR"/>
        </w:rPr>
        <w:t xml:space="preserve"> em anexo, </w:t>
      </w:r>
      <w:r w:rsidR="00D52CFC">
        <w:rPr>
          <w:rFonts w:eastAsia="Times New Roman" w:cs="Arial"/>
          <w:szCs w:val="24"/>
          <w:lang w:eastAsia="pt-BR"/>
        </w:rPr>
        <w:t>vinculada no sistema Projudi a</w:t>
      </w:r>
      <w:r w:rsidR="00D52CFC" w:rsidRPr="00DF053F">
        <w:rPr>
          <w:rFonts w:eastAsia="Times New Roman" w:cs="Arial"/>
          <w:szCs w:val="24"/>
          <w:lang w:eastAsia="pt-BR"/>
        </w:rPr>
        <w:t>os autos n° $</w:t>
      </w:r>
      <w:proofErr w:type="spellStart"/>
      <w:r w:rsidR="00D52CFC" w:rsidRPr="00DF053F">
        <w:rPr>
          <w:rFonts w:eastAsia="Times New Roman" w:cs="Arial"/>
          <w:szCs w:val="24"/>
          <w:lang w:eastAsia="pt-BR"/>
        </w:rPr>
        <w:t>numeroUnicoFormatado</w:t>
      </w:r>
      <w:proofErr w:type="spellEnd"/>
      <w:r w:rsidR="00D52CFC">
        <w:rPr>
          <w:rFonts w:eastAsia="Times New Roman" w:cs="Arial"/>
          <w:szCs w:val="24"/>
          <w:lang w:eastAsia="pt-BR"/>
        </w:rPr>
        <w:t xml:space="preserve">, </w:t>
      </w:r>
      <w:r>
        <w:rPr>
          <w:rFonts w:eastAsia="Times New Roman" w:cs="Arial"/>
          <w:szCs w:val="24"/>
          <w:lang w:eastAsia="pt-BR"/>
        </w:rPr>
        <w:t>s</w:t>
      </w:r>
      <w:r w:rsidRPr="00AD205B">
        <w:rPr>
          <w:rFonts w:eastAsia="Times New Roman" w:cs="Arial"/>
          <w:szCs w:val="24"/>
          <w:lang w:eastAsia="pt-BR"/>
        </w:rPr>
        <w:t>ob pena de protesto, conforme advertências abaixo.</w:t>
      </w:r>
    </w:p>
    <w:p w14:paraId="5C05D3EF" w14:textId="1B6EB9E1" w:rsidR="002E6BCA" w:rsidRPr="00AD205B" w:rsidRDefault="002E6BCA" w:rsidP="002E6BCA">
      <w:pPr>
        <w:spacing w:after="0" w:line="240" w:lineRule="auto"/>
        <w:rPr>
          <w:rFonts w:eastAsia="Arial" w:cs="Arial"/>
          <w:i/>
          <w:iCs/>
          <w:szCs w:val="24"/>
        </w:rPr>
      </w:pPr>
      <w:r w:rsidRPr="00AD205B">
        <w:rPr>
          <w:rFonts w:eastAsia="Arial" w:cs="Arial"/>
          <w:b/>
          <w:bCs/>
          <w:szCs w:val="24"/>
          <w:lang w:eastAsia="pt-BR"/>
        </w:rPr>
        <w:t>ADVERTÊNCIA</w:t>
      </w:r>
      <w:r w:rsidRPr="00AD205B">
        <w:rPr>
          <w:rFonts w:eastAsia="Arial" w:cs="Arial"/>
          <w:szCs w:val="24"/>
          <w:lang w:eastAsia="pt-BR"/>
        </w:rPr>
        <w:t xml:space="preserve">: </w:t>
      </w:r>
      <w:r w:rsidRPr="00AD205B">
        <w:rPr>
          <w:rFonts w:eastAsia="Arial" w:cs="Arial"/>
          <w:szCs w:val="24"/>
        </w:rPr>
        <w:t xml:space="preserve">O não pagamento dos valores importará emissão de </w:t>
      </w:r>
      <w:r w:rsidRPr="00AD205B">
        <w:rPr>
          <w:rFonts w:eastAsia="Arial" w:cs="Arial"/>
          <w:b/>
          <w:bCs/>
          <w:szCs w:val="24"/>
          <w:u w:val="single"/>
        </w:rPr>
        <w:t>Certidão de Crédito Judicial</w:t>
      </w:r>
      <w:r w:rsidRPr="00AD205B">
        <w:rPr>
          <w:rFonts w:eastAsia="Arial" w:cs="Arial"/>
          <w:szCs w:val="24"/>
        </w:rPr>
        <w:t xml:space="preserve"> a ser encaminhada a </w:t>
      </w:r>
      <w:r w:rsidRPr="00AD205B">
        <w:rPr>
          <w:rFonts w:eastAsia="Arial" w:cs="Arial"/>
          <w:b/>
          <w:bCs/>
          <w:szCs w:val="24"/>
          <w:u w:val="single"/>
        </w:rPr>
        <w:t>protesto</w:t>
      </w:r>
      <w:r w:rsidRPr="00AD205B">
        <w:rPr>
          <w:rFonts w:eastAsia="Arial" w:cs="Arial"/>
          <w:szCs w:val="24"/>
        </w:rPr>
        <w:t xml:space="preserve"> e </w:t>
      </w:r>
      <w:r w:rsidRPr="00AD205B">
        <w:rPr>
          <w:rFonts w:eastAsia="Arial" w:cs="Arial"/>
          <w:b/>
          <w:bCs/>
          <w:szCs w:val="24"/>
          <w:u w:val="single"/>
        </w:rPr>
        <w:t>lançamento em dívida ativa</w:t>
      </w:r>
      <w:r w:rsidRPr="00AD205B">
        <w:rPr>
          <w:rFonts w:eastAsia="Arial" w:cs="Arial"/>
          <w:szCs w:val="24"/>
        </w:rPr>
        <w:t xml:space="preserve"> - na forma prevista nos </w:t>
      </w:r>
      <w:proofErr w:type="spellStart"/>
      <w:r>
        <w:rPr>
          <w:rFonts w:eastAsia="Arial" w:cs="Arial"/>
          <w:szCs w:val="24"/>
        </w:rPr>
        <w:t>arts</w:t>
      </w:r>
      <w:proofErr w:type="spellEnd"/>
      <w:r>
        <w:rPr>
          <w:rFonts w:eastAsia="Arial" w:cs="Arial"/>
          <w:szCs w:val="24"/>
        </w:rPr>
        <w:t>.</w:t>
      </w:r>
      <w:r w:rsidRPr="00AD205B">
        <w:rPr>
          <w:rFonts w:eastAsia="Arial" w:cs="Arial"/>
          <w:szCs w:val="24"/>
        </w:rPr>
        <w:t xml:space="preserve"> 847 a 858 do Código de Normas do Foro Extrajudicial </w:t>
      </w:r>
      <w:r w:rsidR="003811AD">
        <w:rPr>
          <w:rFonts w:eastAsia="Arial" w:cs="Arial"/>
          <w:szCs w:val="24"/>
        </w:rPr>
        <w:t xml:space="preserve">do TJPR </w:t>
      </w:r>
      <w:r w:rsidRPr="00AD205B">
        <w:rPr>
          <w:rFonts w:eastAsia="Arial" w:cs="Arial"/>
          <w:szCs w:val="24"/>
        </w:rPr>
        <w:t>-, sem prejuízo da</w:t>
      </w:r>
      <w:r w:rsidRPr="00AD205B">
        <w:rPr>
          <w:rFonts w:eastAsia="Arial" w:cs="Arial"/>
          <w:b/>
          <w:bCs/>
          <w:szCs w:val="24"/>
        </w:rPr>
        <w:t xml:space="preserve"> </w:t>
      </w:r>
      <w:r w:rsidRPr="00AD205B">
        <w:rPr>
          <w:rFonts w:eastAsia="Arial" w:cs="Arial"/>
          <w:b/>
          <w:bCs/>
          <w:szCs w:val="24"/>
          <w:u w:val="single"/>
        </w:rPr>
        <w:t>inclusão do nome do devedor nos órgãos de proteção ao crédito</w:t>
      </w:r>
      <w:r>
        <w:rPr>
          <w:rFonts w:eastAsia="Arial" w:cs="Arial"/>
          <w:szCs w:val="24"/>
        </w:rPr>
        <w:t xml:space="preserve"> </w:t>
      </w:r>
      <w:r w:rsidRPr="00AD205B">
        <w:rPr>
          <w:rFonts w:eastAsia="Times New Roman" w:cs="Arial"/>
          <w:szCs w:val="24"/>
          <w:lang w:eastAsia="pt-BR"/>
        </w:rPr>
        <w:t>(SPC/SERASA).</w:t>
      </w:r>
      <w:r w:rsidRPr="00AD205B">
        <w:rPr>
          <w:rFonts w:cs="Arial"/>
        </w:rPr>
        <w:br/>
      </w:r>
      <w:r w:rsidRPr="00366C50">
        <w:rPr>
          <w:rFonts w:eastAsia="Arial" w:cs="Arial"/>
          <w:szCs w:val="24"/>
        </w:rPr>
        <w:t>A</w:t>
      </w:r>
      <w:r w:rsidRPr="00AD205B">
        <w:rPr>
          <w:rFonts w:eastAsia="Arial" w:cs="Arial"/>
          <w:szCs w:val="24"/>
        </w:rPr>
        <w:t xml:space="preserve">pós o encaminhamento da Certidão de Crédito Judicial para protesto, o pagamento do débito deverá ser efetuado, </w:t>
      </w:r>
      <w:r w:rsidRPr="00AD205B">
        <w:rPr>
          <w:rFonts w:eastAsia="Arial" w:cs="Arial"/>
          <w:b/>
          <w:bCs/>
          <w:szCs w:val="24"/>
          <w:u w:val="single"/>
        </w:rPr>
        <w:t>exclusivamente:</w:t>
      </w:r>
    </w:p>
    <w:p w14:paraId="66A04D64" w14:textId="77777777" w:rsidR="002E6BCA" w:rsidRPr="00AD205B" w:rsidRDefault="002E6BCA" w:rsidP="002E6BCA">
      <w:pPr>
        <w:spacing w:after="0" w:line="240" w:lineRule="auto"/>
        <w:rPr>
          <w:rFonts w:eastAsia="Arial" w:cs="Arial"/>
          <w:lang w:eastAsia="pt-BR"/>
        </w:rPr>
      </w:pPr>
      <w:r w:rsidRPr="00D52CFC">
        <w:rPr>
          <w:rFonts w:eastAsia="Arial" w:cs="Arial"/>
          <w:b/>
          <w:bCs/>
          <w:lang w:eastAsia="pt-BR"/>
        </w:rPr>
        <w:t>a)</w:t>
      </w:r>
      <w:r w:rsidRPr="00AD205B">
        <w:rPr>
          <w:rFonts w:eastAsia="Arial" w:cs="Arial"/>
          <w:lang w:eastAsia="pt-BR"/>
        </w:rPr>
        <w:t xml:space="preserve"> durante o tríduo previsto no art. 12 da Lei nº 9.492/1997, no Tabelionato de Protesto de Títulos competente;</w:t>
      </w:r>
    </w:p>
    <w:p w14:paraId="2EC5DFCD" w14:textId="77777777" w:rsidR="002E6BCA" w:rsidRPr="00AD205B" w:rsidRDefault="002E6BCA" w:rsidP="002E6BCA">
      <w:pPr>
        <w:spacing w:after="0" w:line="240" w:lineRule="auto"/>
        <w:rPr>
          <w:rFonts w:eastAsia="Arial" w:cs="Arial"/>
          <w:lang w:eastAsia="pt-BR"/>
        </w:rPr>
      </w:pPr>
      <w:r w:rsidRPr="00D52CFC">
        <w:rPr>
          <w:rFonts w:eastAsia="Arial" w:cs="Arial"/>
          <w:b/>
          <w:bCs/>
          <w:lang w:eastAsia="pt-BR"/>
        </w:rPr>
        <w:t>b)</w:t>
      </w:r>
      <w:r w:rsidRPr="00AD205B">
        <w:rPr>
          <w:rFonts w:eastAsia="Arial" w:cs="Arial"/>
          <w:lang w:eastAsia="pt-BR"/>
        </w:rPr>
        <w:t xml:space="preserve"> após a lavratura do protesto, por meio de guia </w:t>
      </w:r>
      <w:r>
        <w:rPr>
          <w:rFonts w:eastAsia="Arial" w:cs="Arial"/>
          <w:lang w:eastAsia="pt-BR"/>
        </w:rPr>
        <w:t xml:space="preserve">pós-protesto </w:t>
      </w:r>
      <w:r w:rsidRPr="00AD205B">
        <w:rPr>
          <w:rFonts w:eastAsia="Arial" w:cs="Arial"/>
          <w:lang w:eastAsia="pt-BR"/>
        </w:rPr>
        <w:t>emitida no Portal do TJPR.</w:t>
      </w:r>
    </w:p>
    <w:p w14:paraId="78279994" w14:textId="77777777" w:rsidR="002E6BCA" w:rsidRPr="00AD205B" w:rsidRDefault="002E6BCA" w:rsidP="002E6BCA">
      <w:pPr>
        <w:spacing w:after="0" w:line="240" w:lineRule="auto"/>
        <w:rPr>
          <w:rFonts w:eastAsia="Arial" w:cs="Arial"/>
          <w:lang w:eastAsia="pt-BR"/>
        </w:rPr>
      </w:pPr>
      <w:r w:rsidRPr="00AD205B">
        <w:rPr>
          <w:rFonts w:eastAsia="Arial" w:cs="Arial"/>
          <w:lang w:eastAsia="pt-BR"/>
        </w:rPr>
        <w:t>A baixa do protesto ocorrerá somente depois da quitação dos emolumentos e demais despesas perante o respectivo Tabelionato de Protesto de Títulos.</w:t>
      </w:r>
    </w:p>
    <w:p w14:paraId="038A11A2" w14:textId="77777777" w:rsidR="00D52CFC" w:rsidRDefault="00D52CFC" w:rsidP="00D52CFC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0" w:name="_Hlk76585673"/>
      <w:bookmarkStart w:id="1" w:name="_GoBack"/>
      <w:bookmarkEnd w:id="1"/>
      <w:r w:rsidRPr="00C11716"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 w:rsidRPr="00C11716">
        <w:rPr>
          <w:rFonts w:eastAsia="Times New Roman" w:cs="Arial"/>
          <w:b/>
          <w:bCs/>
          <w:i/>
          <w:iCs/>
          <w:lang w:eastAsia="pt-BR"/>
        </w:rPr>
        <w:t>assinaturaUsuarioLogado</w:t>
      </w:r>
      <w:proofErr w:type="spellEnd"/>
      <w:r w:rsidRPr="00C11716"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62D32CDF" w14:textId="77777777" w:rsidR="00D52CFC" w:rsidRPr="00A86D34" w:rsidRDefault="00D52CFC" w:rsidP="00D52CFC">
      <w:pPr>
        <w:textAlignment w:val="baseline"/>
        <w:rPr>
          <w:rFonts w:eastAsia="Times New Roman" w:cs="Arial"/>
          <w:lang w:eastAsia="pt-BR"/>
        </w:rPr>
      </w:pPr>
      <w:r w:rsidRPr="00DD2AA2">
        <w:rPr>
          <w:rFonts w:eastAsia="Times New Roman" w:cs="Arial"/>
          <w:b/>
          <w:bCs/>
          <w:u w:val="single"/>
          <w:lang w:eastAsia="pt-BR"/>
        </w:rPr>
        <w:t>OBSERVAÇÃO</w:t>
      </w:r>
      <w:r w:rsidRPr="00DD2AA2">
        <w:rPr>
          <w:rFonts w:eastAsia="Times New Roman" w:cs="Arial"/>
          <w:lang w:eastAsia="pt-BR"/>
        </w:rPr>
        <w:t xml:space="preserve">: </w:t>
      </w:r>
      <w:r w:rsidRPr="00DF13B1">
        <w:rPr>
          <w:rStyle w:val="normaltextrun"/>
          <w:rFonts w:cs="Arial"/>
        </w:rPr>
        <w:t xml:space="preserve">Tudo em conformidade com </w:t>
      </w:r>
      <w:r>
        <w:rPr>
          <w:rStyle w:val="normaltextrun"/>
          <w:rFonts w:cs="Arial"/>
        </w:rPr>
        <w:t>os documentos</w:t>
      </w:r>
      <w:r w:rsidRPr="00DF13B1">
        <w:rPr>
          <w:rStyle w:val="normaltextrun"/>
          <w:rFonts w:cs="Arial"/>
        </w:rPr>
        <w:t xml:space="preserve"> acessíveis </w:t>
      </w:r>
      <w:r w:rsidRPr="00DD2AA2"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</w:rPr>
        <w:t xml:space="preserve"> n</w:t>
      </w:r>
      <w:r w:rsidRPr="00DF13B1">
        <w:rPr>
          <w:rStyle w:val="normaltextrun"/>
          <w:rFonts w:cs="Arial"/>
        </w:rPr>
        <w:t xml:space="preserve">o endereço eletrônico </w:t>
      </w:r>
      <w:r w:rsidRPr="00C23A98">
        <w:rPr>
          <w:rStyle w:val="normaltextrun"/>
          <w:rFonts w:cs="Arial"/>
        </w:rPr>
        <w:t>https://projudi.tjpr.jus.br/projudi/</w:t>
      </w:r>
      <w:r w:rsidRPr="00DF13B1">
        <w:rPr>
          <w:rStyle w:val="normaltextrun"/>
          <w:rFonts w:cs="Arial"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 w:rsidRPr="001472BD">
        <w:rPr>
          <w:rFonts w:eastAsia="Times New Roman" w:cs="Arial"/>
          <w:i/>
          <w:iCs/>
          <w:lang w:eastAsia="pt-BR"/>
        </w:rPr>
        <w:t>Consulta via Chave de Validação</w:t>
      </w:r>
      <w:r>
        <w:rPr>
          <w:rFonts w:eastAsia="Times New Roman" w:cs="Arial"/>
          <w:i/>
          <w:iCs/>
          <w:lang w:eastAsia="pt-BR"/>
        </w:rPr>
        <w:t>’</w:t>
      </w:r>
      <w:r w:rsidRPr="001472BD">
        <w:rPr>
          <w:rFonts w:eastAsia="Times New Roman" w:cs="Arial"/>
          <w:lang w:eastAsia="pt-BR"/>
        </w:rPr>
        <w:t xml:space="preserve"> </w:t>
      </w:r>
      <w:r>
        <w:rPr>
          <w:rFonts w:eastAsia="Times New Roman" w:cs="Arial"/>
          <w:lang w:eastAsia="pt-BR"/>
        </w:rPr>
        <w:t xml:space="preserve">e </w:t>
      </w:r>
      <w:r w:rsidRPr="001B207E">
        <w:rPr>
          <w:rFonts w:eastAsia="Times New Roman" w:cs="Arial"/>
          <w:lang w:eastAsia="pt-BR"/>
        </w:rPr>
        <w:t xml:space="preserve">utilizando </w:t>
      </w:r>
      <w:r>
        <w:rPr>
          <w:rFonts w:eastAsia="Times New Roman" w:cs="Arial"/>
          <w:lang w:eastAsia="pt-BR"/>
        </w:rPr>
        <w:t xml:space="preserve">o </w:t>
      </w:r>
      <w:r w:rsidRPr="001B207E">
        <w:rPr>
          <w:rFonts w:eastAsia="Times New Roman" w:cs="Arial"/>
          <w:lang w:eastAsia="pt-BR"/>
        </w:rPr>
        <w:t xml:space="preserve">código </w:t>
      </w:r>
      <w:r w:rsidRPr="001B207E">
        <w:rPr>
          <w:rFonts w:eastAsia="Times New Roman" w:cs="Arial"/>
          <w:b/>
          <w:bCs/>
          <w:lang w:eastAsia="pt-BR"/>
        </w:rPr>
        <w:t>$</w:t>
      </w:r>
      <w:proofErr w:type="spellStart"/>
      <w:r w:rsidRPr="001B207E">
        <w:rPr>
          <w:rFonts w:eastAsia="Times New Roman" w:cs="Arial"/>
          <w:b/>
          <w:bCs/>
          <w:lang w:eastAsia="pt-BR"/>
        </w:rPr>
        <w:t>chaveAcessoProcesso</w:t>
      </w:r>
      <w:proofErr w:type="spellEnd"/>
      <w:r w:rsidRPr="001B207E">
        <w:rPr>
          <w:rFonts w:eastAsia="Times New Roman" w:cs="Arial"/>
          <w:lang w:eastAsia="pt-BR"/>
        </w:rPr>
        <w:t>.</w:t>
      </w:r>
      <w:r>
        <w:rPr>
          <w:rFonts w:eastAsia="Times New Roman" w:cs="Arial"/>
          <w:lang w:eastAsia="pt-BR"/>
        </w:rPr>
        <w:t xml:space="preserve"> </w:t>
      </w:r>
      <w:r w:rsidRPr="00DD2AA2">
        <w:rPr>
          <w:rFonts w:eastAsia="Times New Roman" w:cs="Arial"/>
          <w:lang w:eastAsia="pt-BR"/>
        </w:rPr>
        <w:t>O acesso ao conteúdo integral do processo, bem como a realização de atos processuais pela parte interessada ocorrerão exclusivamente</w:t>
      </w:r>
      <w:r>
        <w:rPr>
          <w:rFonts w:eastAsia="Times New Roman" w:cs="Arial"/>
          <w:lang w:eastAsia="pt-BR"/>
        </w:rPr>
        <w:t xml:space="preserve"> no sistema Projudi</w:t>
      </w:r>
      <w:r w:rsidRPr="00DD2AA2">
        <w:rPr>
          <w:rFonts w:eastAsia="Times New Roman" w:cs="Arial"/>
          <w:lang w:eastAsia="pt-BR"/>
        </w:rPr>
        <w:t xml:space="preserve">, mediante a habilitação </w:t>
      </w:r>
      <w:r>
        <w:rPr>
          <w:rFonts w:eastAsia="Times New Roman" w:cs="Arial"/>
          <w:lang w:eastAsia="pt-BR"/>
        </w:rPr>
        <w:t>de</w:t>
      </w:r>
      <w:r w:rsidRPr="00DD2AA2">
        <w:rPr>
          <w:rFonts w:eastAsia="Times New Roman" w:cs="Arial"/>
          <w:lang w:eastAsia="pt-BR"/>
        </w:rPr>
        <w:t xml:space="preserve"> advogado.</w:t>
      </w:r>
      <w:bookmarkEnd w:id="0"/>
    </w:p>
    <w:p w14:paraId="1A1925F1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sz w:val="20"/>
          <w:szCs w:val="20"/>
          <w:vertAlign w:val="superscript"/>
          <w:lang w:eastAsia="pt-BR"/>
        </w:rPr>
        <w:t xml:space="preserve">1 </w:t>
      </w: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Art. 2º O devedor será intimado, por meio de seu procurador legalmente constituído, para efetuar o recolhimento dos valores devidos a título de custas processuais.</w:t>
      </w:r>
    </w:p>
    <w:p w14:paraId="51D13D3B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bookmarkStart w:id="2" w:name="_Hlk77169140"/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</w:t>
      </w:r>
      <w:bookmarkEnd w:id="2"/>
      <w:r w:rsidRPr="00095926">
        <w:rPr>
          <w:rFonts w:eastAsia="Times New Roman" w:cs="Arial"/>
          <w:i/>
          <w:iCs/>
          <w:sz w:val="20"/>
          <w:szCs w:val="20"/>
          <w:lang w:eastAsia="pt-BR"/>
        </w:rPr>
        <w:t xml:space="preserve"> 1º Não havendo procurador constituído nos autos, a intimação do devedor será realizada por carta com AR.</w:t>
      </w:r>
    </w:p>
    <w:p w14:paraId="6326E07D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2° O prazo de recolhimento da guia será de 40 (quarenta) dias ininterruptos, no caso em que houver advogado constituído no processo, e de 60 (sessenta) dias ininterruptos quando inexistir patrono habilitado.</w:t>
      </w:r>
    </w:p>
    <w:p w14:paraId="657F165E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3º As custas e despesas processuais decorrentes da intimação pelo correio integrarão as custas finais para efeito de protesto.</w:t>
      </w:r>
    </w:p>
    <w:p w14:paraId="5789F0C2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4º Os valores não serão encaminhados a protesto quando as custas e as despesas com a intimação pelo correio, incluindo gastos postais, forem superiores ao valor do débito.</w:t>
      </w:r>
    </w:p>
    <w:p w14:paraId="61E62FCC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5º A intimação deverá conter a advertência de que o inadimplemento das custas ocasionará a emissão de CCJ, o protesto do valor devido e o lançamento em dívida ativa, sem prejuízo da inclusão do nome do devedor nos órgãos de proteção ao crédito (modelos anexos).</w:t>
      </w:r>
    </w:p>
    <w:p w14:paraId="56C47F79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6° A Unidade Judiciária preparará, no Sistema Uniformizado (intranet), a guia de custas finais correspondente ao débito.</w:t>
      </w:r>
    </w:p>
    <w:p w14:paraId="4B5B210B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7º Compete à Unidade Judiciária, nos processos eletrônicos, vincular a guia de custas finais no Sistema Projudi, até a criação de ferramenta de vinculação automática.</w:t>
      </w:r>
    </w:p>
    <w:p w14:paraId="020F85E8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8º A intimação pelo correio será acompanhada da guia de custas finais.</w:t>
      </w:r>
    </w:p>
    <w:p w14:paraId="2890BFC4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9° Somente serão encaminhadas a protesto as custas e despesas processuais cujos devedores sejam domiciliados no Estado do Paraná, salvo outro convênio dispondo de forma diversa.</w:t>
      </w:r>
    </w:p>
    <w:p w14:paraId="54199BAB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10. Somente serão encaminhadas a protesto as custas e despesas processuais pendentes relativas a processo cujo trânsito em julgado tenha ocorrido há menos de 5 (cinco) anos.</w:t>
      </w:r>
    </w:p>
    <w:p w14:paraId="7575DB51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lastRenderedPageBreak/>
        <w:t>§ 11. Havendo valores devidos a título de custas processuais ao final do processo, faz-se necessária a geração da guia de custas finais, inclusive na hipótese do §4° deste artigo, para cumprimento do disposto no art. 9°.</w:t>
      </w:r>
    </w:p>
    <w:p w14:paraId="456B975B" w14:textId="77777777" w:rsidR="002E6BCA" w:rsidRPr="00095926" w:rsidRDefault="002E6BCA" w:rsidP="002E6BCA">
      <w:pPr>
        <w:spacing w:after="0" w:line="240" w:lineRule="auto"/>
        <w:rPr>
          <w:rFonts w:eastAsia="Times New Roman" w:cs="Arial"/>
          <w:i/>
          <w:iCs/>
          <w:sz w:val="20"/>
          <w:szCs w:val="20"/>
          <w:lang w:eastAsia="pt-BR"/>
        </w:rPr>
      </w:pPr>
      <w:r w:rsidRPr="00095926">
        <w:rPr>
          <w:rFonts w:eastAsia="Times New Roman" w:cs="Arial"/>
          <w:i/>
          <w:iCs/>
          <w:sz w:val="20"/>
          <w:szCs w:val="20"/>
          <w:lang w:eastAsia="pt-BR"/>
        </w:rPr>
        <w:t>§ 12. Caso inexitosa a intimação do devedor a que se referiu o § 1º deste artigo, a Secretaria deverá aguardar o vencimento da guia de custas finais, sem o pagamento, e, a partir de então, preparar a Comunicação de Custas Não Pagas, na forma do art. 9º.</w:t>
      </w:r>
    </w:p>
    <w:p w14:paraId="4B9A4B4F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A"/>
    <w:rsid w:val="0023796A"/>
    <w:rsid w:val="002E6BCA"/>
    <w:rsid w:val="003811AD"/>
    <w:rsid w:val="003C5983"/>
    <w:rsid w:val="00CB1028"/>
    <w:rsid w:val="00D52CFC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0D4"/>
  <w15:chartTrackingRefBased/>
  <w15:docId w15:val="{891F8E4F-17C2-4A16-BA46-17A79161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C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2E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E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4</cp:revision>
  <dcterms:created xsi:type="dcterms:W3CDTF">2021-06-26T18:50:00Z</dcterms:created>
  <dcterms:modified xsi:type="dcterms:W3CDTF">2021-07-16T20:30:00Z</dcterms:modified>
</cp:coreProperties>
</file>