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BC851" w14:textId="77777777" w:rsidR="00B96159" w:rsidRPr="00E8577E" w:rsidRDefault="00B96159" w:rsidP="00B96159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364CF2">
        <w:rPr>
          <w:rFonts w:eastAsia="Times New Roman" w:cs="Arial"/>
          <w:sz w:val="18"/>
          <w:szCs w:val="18"/>
          <w:lang w:eastAsia="pt-BR"/>
        </w:rPr>
        <w:t xml:space="preserve">$formatacaoModeloPadrao </w:t>
      </w:r>
    </w:p>
    <w:p w14:paraId="1700ACE9" w14:textId="77777777" w:rsidR="00B96159" w:rsidRPr="00E8577E" w:rsidRDefault="00B96159" w:rsidP="00B96159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364CF2">
        <w:rPr>
          <w:rFonts w:eastAsia="Times New Roman" w:cs="Arial"/>
          <w:sz w:val="18"/>
          <w:szCs w:val="18"/>
          <w:lang w:eastAsia="pt-BR"/>
        </w:rPr>
        <w:t>$cabecalho</w:t>
      </w:r>
    </w:p>
    <w:p w14:paraId="0FF62630" w14:textId="77777777" w:rsidR="00B96159" w:rsidRPr="00E8577E" w:rsidRDefault="00B96159" w:rsidP="00B96159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364CF2">
        <w:rPr>
          <w:rFonts w:eastAsia="Times New Roman" w:cs="Arial"/>
          <w:sz w:val="18"/>
          <w:szCs w:val="18"/>
          <w:lang w:eastAsia="pt-BR"/>
        </w:rPr>
        <w:t>$dadosProcessoSemValorSemData</w:t>
      </w:r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9"/>
        <w:gridCol w:w="10211"/>
      </w:tblGrid>
      <w:tr w:rsidR="00865DBE" w:rsidRPr="00364CF2" w14:paraId="78EF66FF" w14:textId="77777777" w:rsidTr="00B961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23B41C" w14:textId="2CA56552" w:rsidR="00865DBE" w:rsidRPr="00E8577E" w:rsidRDefault="00865DBE" w:rsidP="00865DB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364CF2">
              <w:rPr>
                <w:rFonts w:eastAsia="Times New Roman" w:cs="Arial"/>
                <w:sz w:val="17"/>
                <w:szCs w:val="17"/>
                <w:lang w:eastAsia="pt-BR"/>
              </w:rPr>
              <w:t>JUSTIÇA GRATUITA: $!parteSelecionadaJusticaGratuita</w:t>
            </w:r>
          </w:p>
        </w:tc>
        <w:tc>
          <w:tcPr>
            <w:tcW w:w="0" w:type="auto"/>
            <w:vAlign w:val="center"/>
            <w:hideMark/>
          </w:tcPr>
          <w:p w14:paraId="01C18A9D" w14:textId="77777777" w:rsidR="00865DBE" w:rsidRPr="00E8577E" w:rsidRDefault="00865DBE" w:rsidP="00865DB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364CF2">
              <w:rPr>
                <w:rFonts w:eastAsia="Times New Roman" w:cs="Arial"/>
                <w:sz w:val="17"/>
                <w:szCs w:val="17"/>
                <w:lang w:eastAsia="pt-BR"/>
              </w:rPr>
              <w:t xml:space="preserve">Urgente: $mandadoUrgente #if( $!mandado.getTipoUrgenciaMandado().getDescricao() != "" )( </w:t>
            </w:r>
            <w:r w:rsidRPr="00364CF2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$!mandado.getTipoUrgenciaMandado().getDescricao()</w:t>
            </w:r>
            <w:r w:rsidRPr="00364CF2">
              <w:rPr>
                <w:rFonts w:eastAsia="Times New Roman" w:cs="Arial"/>
                <w:sz w:val="17"/>
                <w:szCs w:val="17"/>
                <w:lang w:eastAsia="pt-BR"/>
              </w:rPr>
              <w:t xml:space="preserve"> )#end</w:t>
            </w:r>
          </w:p>
        </w:tc>
      </w:tr>
      <w:tr w:rsidR="00865DBE" w:rsidRPr="00364CF2" w14:paraId="684A96B6" w14:textId="77777777" w:rsidTr="00865DBE">
        <w:trPr>
          <w:tblCellSpacing w:w="15" w:type="dxa"/>
        </w:trPr>
        <w:tc>
          <w:tcPr>
            <w:tcW w:w="0" w:type="auto"/>
            <w:vAlign w:val="center"/>
          </w:tcPr>
          <w:p w14:paraId="134F4D29" w14:textId="49899EB1" w:rsidR="00865DBE" w:rsidRPr="00E8577E" w:rsidRDefault="00865DBE" w:rsidP="00865DB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364CF2">
              <w:rPr>
                <w:rFonts w:eastAsia="Times New Roman" w:cs="Arial"/>
                <w:sz w:val="18"/>
                <w:szCs w:val="18"/>
                <w:lang w:eastAsia="pt-BR"/>
              </w:rPr>
              <w:t>$!parteSelecionadaPrioridades</w:t>
            </w:r>
          </w:p>
        </w:tc>
        <w:tc>
          <w:tcPr>
            <w:tcW w:w="0" w:type="auto"/>
            <w:vAlign w:val="center"/>
            <w:hideMark/>
          </w:tcPr>
          <w:p w14:paraId="644FE680" w14:textId="77777777" w:rsidR="00865DBE" w:rsidRPr="00E8577E" w:rsidRDefault="00865DBE" w:rsidP="00865DB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364CF2">
              <w:rPr>
                <w:rFonts w:eastAsia="Times New Roman" w:cs="Arial"/>
                <w:sz w:val="17"/>
                <w:szCs w:val="17"/>
                <w:lang w:eastAsia="pt-BR"/>
              </w:rPr>
              <w:t>Tipo do Mandado: $!mandado.getTipoMandadoOficialJustica().getDescricao()</w:t>
            </w:r>
          </w:p>
        </w:tc>
      </w:tr>
      <w:tr w:rsidR="00865DBE" w:rsidRPr="00364CF2" w14:paraId="3348B450" w14:textId="77777777" w:rsidTr="00B961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84B8A2" w14:textId="2F28C13A" w:rsidR="00865DBE" w:rsidRPr="00E8577E" w:rsidRDefault="00865DBE" w:rsidP="00865DB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4EABE3A3" w14:textId="77777777" w:rsidR="00865DBE" w:rsidRPr="00E8577E" w:rsidRDefault="00865DBE" w:rsidP="00865DB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364CF2">
              <w:rPr>
                <w:rFonts w:eastAsia="Times New Roman" w:cs="Arial"/>
                <w:sz w:val="17"/>
                <w:szCs w:val="17"/>
                <w:lang w:eastAsia="pt-BR"/>
              </w:rPr>
              <w:t>#if( $!mandado.getCustasMandado().getDescricao() != "" )Custas do Mandado: $!mandado.getCustasMandado().getDescricao()#end #if( $!mandado.getTipoClassificacaoMandado().getDescricao() != "" )( $!mandado.getTipoClassificacaoMandado().getDescricao() )#end</w:t>
            </w:r>
          </w:p>
        </w:tc>
      </w:tr>
    </w:tbl>
    <w:p w14:paraId="073A4193" w14:textId="77777777" w:rsidR="00B96159" w:rsidRPr="00E8577E" w:rsidRDefault="00B96159" w:rsidP="00B96159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E8577E">
        <w:rPr>
          <w:rFonts w:eastAsia="Times New Roman" w:cs="Arial"/>
          <w:b/>
          <w:bCs/>
          <w:u w:val="single"/>
          <w:lang w:eastAsia="pt-BR"/>
        </w:rPr>
        <w:t>$cumprimentoCartorio.getTipoCumprimento().getDescricao() de $cumprimentoCartorio.getNaturezaMandado().getDescricao()</w:t>
      </w:r>
      <w:r w:rsidRPr="00364CF2">
        <w:rPr>
          <w:rFonts w:eastAsia="Times New Roman" w:cs="Arial"/>
          <w:sz w:val="24"/>
          <w:szCs w:val="24"/>
          <w:lang w:eastAsia="pt-BR"/>
        </w:rPr>
        <w:br/>
      </w:r>
      <w:r w:rsidRPr="00364CF2">
        <w:rPr>
          <w:rFonts w:eastAsia="Times New Roman" w:cs="Arial"/>
          <w:b/>
          <w:bCs/>
          <w:sz w:val="18"/>
          <w:szCs w:val="18"/>
          <w:lang w:eastAsia="pt-BR"/>
        </w:rPr>
        <w:t>$cumprimentoNumero #if( $cumprimentoCartorio.getDescrevePrazo() != "" )- Prazo: $cumprimentoCartorio.getDescrevePrazo()#end</w:t>
      </w:r>
    </w:p>
    <w:p w14:paraId="0708585B" w14:textId="77777777" w:rsidR="00E90A7F" w:rsidRPr="00364CF2" w:rsidRDefault="00E90A7F" w:rsidP="00E90A7F">
      <w:pPr>
        <w:spacing w:after="0" w:line="240" w:lineRule="auto"/>
        <w:jc w:val="center"/>
        <w:rPr>
          <w:rFonts w:eastAsia="Times New Roman" w:cs="Arial"/>
          <w:i/>
          <w:color w:val="0000FF"/>
          <w:sz w:val="14"/>
          <w:szCs w:val="14"/>
          <w:lang w:eastAsia="pt-BR"/>
        </w:rPr>
      </w:pPr>
      <w:r w:rsidRPr="00364CF2">
        <w:rPr>
          <w:rFonts w:eastAsia="Times New Roman" w:cs="Arial"/>
          <w:i/>
          <w:color w:val="0000FF"/>
          <w:sz w:val="14"/>
          <w:szCs w:val="14"/>
          <w:lang w:eastAsia="pt-BR"/>
        </w:rPr>
        <w:t>cumprimento preferencial por meio eletrônico</w:t>
      </w:r>
      <w:r w:rsidRPr="00E8577E">
        <w:rPr>
          <w:rFonts w:cs="Arial"/>
          <w:i/>
          <w:color w:val="0000FF"/>
          <w:sz w:val="14"/>
          <w:szCs w:val="14"/>
          <w:vertAlign w:val="superscript"/>
        </w:rPr>
        <w:footnoteReference w:id="1"/>
      </w:r>
    </w:p>
    <w:p w14:paraId="4BDD2783" w14:textId="77777777" w:rsidR="00B96159" w:rsidRPr="00E8577E" w:rsidRDefault="00B96159" w:rsidP="00B96159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7E41BC28" w14:textId="60A20CA9" w:rsidR="00B96159" w:rsidRPr="00364CF2" w:rsidRDefault="00B96159" w:rsidP="00B96159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364CF2">
        <w:rPr>
          <w:rFonts w:eastAsia="Times New Roman" w:cs="Arial"/>
          <w:sz w:val="18"/>
          <w:szCs w:val="18"/>
          <w:lang w:eastAsia="pt-BR"/>
        </w:rPr>
        <w:t xml:space="preserve">O(A) Juiz(íza) de Direito $!autos.getJuizResponsavel().getNome(), da $vara.getDescricao(), referente ao(à) </w:t>
      </w:r>
      <w:r w:rsidRPr="00364CF2">
        <w:rPr>
          <w:rFonts w:eastAsia="Times New Roman" w:cs="Arial"/>
          <w:b/>
          <w:bCs/>
          <w:sz w:val="18"/>
          <w:szCs w:val="18"/>
          <w:lang w:eastAsia="pt-BR"/>
        </w:rPr>
        <w:t>$!parteSelecionada.tipoParteProcesso.descricao</w:t>
      </w:r>
      <w:r w:rsidRPr="00364CF2">
        <w:rPr>
          <w:rFonts w:eastAsia="Times New Roman" w:cs="Arial"/>
          <w:sz w:val="18"/>
          <w:szCs w:val="18"/>
          <w:lang w:eastAsia="pt-BR"/>
        </w:rPr>
        <w:t>: $parteSelecionadaDadosBasicos</w:t>
      </w:r>
    </w:p>
    <w:p w14:paraId="43CC8AF5" w14:textId="77777777" w:rsidR="006421CC" w:rsidRPr="00E8577E" w:rsidRDefault="006421CC" w:rsidP="00B96159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2EB4B95C" w14:textId="77777777" w:rsidR="00935322" w:rsidRDefault="00D736C7" w:rsidP="00B96159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364CF2">
        <w:rPr>
          <w:rFonts w:eastAsia="Times New Roman" w:cs="Arial"/>
          <w:b/>
          <w:bCs/>
          <w:sz w:val="18"/>
          <w:szCs w:val="18"/>
          <w:lang w:eastAsia="pt-BR"/>
        </w:rPr>
        <w:t xml:space="preserve">MANDA </w:t>
      </w:r>
      <w:r w:rsidRPr="00364CF2">
        <w:rPr>
          <w:rFonts w:eastAsia="Times New Roman" w:cs="Arial"/>
          <w:sz w:val="18"/>
          <w:szCs w:val="18"/>
          <w:lang w:eastAsia="pt-BR"/>
        </w:rPr>
        <w:t>ao(à) Sr(a). Oficial de Justiça que proceda à</w:t>
      </w:r>
      <w:r w:rsidR="00935322">
        <w:rPr>
          <w:rFonts w:eastAsia="Times New Roman" w:cs="Arial"/>
          <w:sz w:val="18"/>
          <w:szCs w:val="18"/>
          <w:lang w:eastAsia="pt-BR"/>
        </w:rPr>
        <w:t>:</w:t>
      </w:r>
    </w:p>
    <w:p w14:paraId="05680B6C" w14:textId="77777777" w:rsidR="00935322" w:rsidRDefault="00935322" w:rsidP="00B96159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279A125E" w14:textId="26E78580" w:rsidR="004A1D71" w:rsidRPr="00364CF2" w:rsidRDefault="00935322" w:rsidP="00B96159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E8577E">
        <w:rPr>
          <w:rFonts w:eastAsia="Times New Roman" w:cs="Arial"/>
          <w:b/>
          <w:sz w:val="18"/>
          <w:szCs w:val="18"/>
          <w:lang w:eastAsia="pt-BR"/>
        </w:rPr>
        <w:t xml:space="preserve">1. </w:t>
      </w:r>
      <w:r w:rsidR="00FD1037" w:rsidRPr="00364CF2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INTIM</w:t>
      </w:r>
      <w:r w:rsidR="00D736C7" w:rsidRPr="00364CF2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AÇÃO</w:t>
      </w:r>
      <w:r w:rsidR="00D736C7" w:rsidRPr="00364CF2">
        <w:rPr>
          <w:rFonts w:eastAsia="Times New Roman" w:cs="Arial"/>
          <w:sz w:val="18"/>
          <w:szCs w:val="18"/>
          <w:lang w:eastAsia="pt-BR"/>
        </w:rPr>
        <w:t xml:space="preserve"> da parte acima indicada</w:t>
      </w:r>
      <w:r w:rsidR="00622B0B" w:rsidRPr="00364CF2">
        <w:rPr>
          <w:rFonts w:eastAsia="Times New Roman" w:cs="Arial"/>
          <w:sz w:val="18"/>
          <w:szCs w:val="18"/>
          <w:lang w:eastAsia="pt-BR"/>
        </w:rPr>
        <w:t xml:space="preserve">, </w:t>
      </w:r>
      <w:r w:rsidR="00464DAB" w:rsidRPr="00364CF2">
        <w:rPr>
          <w:rFonts w:eastAsia="Times New Roman" w:cs="Arial"/>
          <w:sz w:val="18"/>
          <w:szCs w:val="18"/>
          <w:lang w:eastAsia="pt-BR"/>
        </w:rPr>
        <w:t>GENITORA</w:t>
      </w:r>
      <w:r w:rsidR="00CE6B7E" w:rsidRPr="00364CF2">
        <w:rPr>
          <w:rFonts w:eastAsia="Times New Roman" w:cs="Arial"/>
          <w:sz w:val="18"/>
          <w:szCs w:val="18"/>
          <w:lang w:eastAsia="pt-BR"/>
        </w:rPr>
        <w:t xml:space="preserve"> de</w:t>
      </w:r>
      <w:r w:rsidR="00464DAB" w:rsidRPr="00364CF2">
        <w:rPr>
          <w:rFonts w:eastAsia="Times New Roman" w:cs="Arial"/>
          <w:sz w:val="18"/>
          <w:szCs w:val="18"/>
          <w:lang w:eastAsia="pt-BR"/>
        </w:rPr>
        <w:t xml:space="preserve"> </w:t>
      </w:r>
      <w:r w:rsidR="00CE6B7E" w:rsidRPr="00364CF2">
        <w:rPr>
          <w:rFonts w:eastAsia="Times New Roman" w:cs="Arial"/>
          <w:b/>
          <w:bCs/>
          <w:sz w:val="18"/>
          <w:szCs w:val="18"/>
          <w:lang w:eastAsia="pt-BR"/>
        </w:rPr>
        <w:t>$partesPoloAtivo</w:t>
      </w:r>
      <w:r w:rsidR="00CE6B7E" w:rsidRPr="00364CF2">
        <w:rPr>
          <w:rFonts w:eastAsia="Times New Roman" w:cs="Arial"/>
          <w:sz w:val="18"/>
          <w:szCs w:val="18"/>
          <w:lang w:eastAsia="pt-BR"/>
        </w:rPr>
        <w:t xml:space="preserve"> </w:t>
      </w:r>
      <w:r w:rsidR="00CE6B7E" w:rsidRPr="00364CF2">
        <w:rPr>
          <w:rFonts w:eastAsia="Times New Roman" w:cs="Arial"/>
          <w:b/>
          <w:bCs/>
          <w:iCs/>
          <w:color w:val="0000FF"/>
          <w:sz w:val="18"/>
          <w:szCs w:val="18"/>
          <w:lang w:eastAsia="pt-BR"/>
        </w:rPr>
        <w:t>***</w:t>
      </w:r>
      <w:r w:rsidR="00CE6B7E" w:rsidRPr="00364CF2">
        <w:rPr>
          <w:rFonts w:eastAsia="Times New Roman" w:cs="Arial"/>
          <w:i/>
          <w:color w:val="0000FF"/>
          <w:sz w:val="18"/>
          <w:szCs w:val="18"/>
          <w:lang w:eastAsia="pt-BR"/>
        </w:rPr>
        <w:t>Nome apenas da criança, retirar os demais</w:t>
      </w:r>
      <w:r w:rsidR="00CE6B7E" w:rsidRPr="00364CF2">
        <w:rPr>
          <w:rFonts w:eastAsia="Times New Roman" w:cs="Arial"/>
          <w:b/>
          <w:bCs/>
          <w:iCs/>
          <w:color w:val="0000FF"/>
          <w:sz w:val="18"/>
          <w:szCs w:val="18"/>
          <w:lang w:eastAsia="pt-BR"/>
        </w:rPr>
        <w:t>***</w:t>
      </w:r>
      <w:r w:rsidR="00CE6B7E" w:rsidRPr="00364CF2">
        <w:rPr>
          <w:rFonts w:eastAsia="Times New Roman" w:cs="Arial"/>
          <w:iCs/>
          <w:sz w:val="18"/>
          <w:szCs w:val="18"/>
          <w:lang w:eastAsia="pt-BR"/>
        </w:rPr>
        <w:t>,</w:t>
      </w:r>
      <w:r w:rsidR="00CE6B7E" w:rsidRPr="00364CF2">
        <w:rPr>
          <w:rFonts w:eastAsia="Times New Roman" w:cs="Arial"/>
          <w:sz w:val="18"/>
          <w:szCs w:val="18"/>
          <w:lang w:eastAsia="pt-BR"/>
        </w:rPr>
        <w:t xml:space="preserve"> para:</w:t>
      </w:r>
    </w:p>
    <w:p w14:paraId="1874467D" w14:textId="0A135037" w:rsidR="00CE2091" w:rsidRPr="00364CF2" w:rsidRDefault="00CE2091" w:rsidP="00CE2091">
      <w:pPr>
        <w:spacing w:after="0" w:line="240" w:lineRule="auto"/>
        <w:jc w:val="both"/>
        <w:rPr>
          <w:rFonts w:eastAsia="Times New Roman" w:cs="Arial"/>
          <w:b/>
          <w:bCs/>
          <w:i/>
          <w:iCs/>
          <w:color w:val="3300FF"/>
          <w:sz w:val="18"/>
          <w:szCs w:val="18"/>
          <w:lang w:eastAsia="pt-BR"/>
        </w:rPr>
      </w:pPr>
      <w:r w:rsidRPr="00364CF2">
        <w:rPr>
          <w:rFonts w:eastAsia="Times New Roman" w:cs="Arial"/>
          <w:b/>
          <w:bCs/>
          <w:sz w:val="18"/>
          <w:szCs w:val="18"/>
          <w:lang w:eastAsia="pt-BR"/>
        </w:rPr>
        <w:t>1</w:t>
      </w:r>
      <w:r w:rsidR="00935322">
        <w:rPr>
          <w:rFonts w:eastAsia="Times New Roman" w:cs="Arial"/>
          <w:b/>
          <w:bCs/>
          <w:sz w:val="18"/>
          <w:szCs w:val="18"/>
          <w:lang w:eastAsia="pt-BR"/>
        </w:rPr>
        <w:t>.1.</w:t>
      </w:r>
      <w:r w:rsidRPr="00364CF2">
        <w:rPr>
          <w:rFonts w:eastAsia="Times New Roman" w:cs="Arial"/>
          <w:b/>
          <w:bCs/>
          <w:sz w:val="18"/>
          <w:szCs w:val="18"/>
          <w:lang w:eastAsia="pt-BR"/>
        </w:rPr>
        <w:t xml:space="preserve"> Comparecer à</w:t>
      </w:r>
      <w:r w:rsidRPr="00364CF2">
        <w:rPr>
          <w:rFonts w:eastAsia="Times New Roman" w:cs="Arial"/>
          <w:sz w:val="18"/>
          <w:szCs w:val="18"/>
          <w:lang w:eastAsia="pt-BR"/>
        </w:rPr>
        <w:t xml:space="preserve"> </w:t>
      </w:r>
      <w:r w:rsidR="004A7692">
        <w:rPr>
          <w:rFonts w:eastAsia="Times New Roman" w:cs="Arial"/>
          <w:b/>
          <w:bCs/>
          <w:sz w:val="18"/>
          <w:szCs w:val="18"/>
          <w:lang w:eastAsia="pt-BR"/>
        </w:rPr>
        <w:t>a</w:t>
      </w:r>
      <w:r w:rsidRPr="00364CF2">
        <w:rPr>
          <w:rFonts w:eastAsia="Times New Roman" w:cs="Arial"/>
          <w:b/>
          <w:bCs/>
          <w:sz w:val="18"/>
          <w:szCs w:val="18"/>
          <w:lang w:eastAsia="pt-BR"/>
        </w:rPr>
        <w:t>udiência</w:t>
      </w:r>
      <w:r w:rsidRPr="00364CF2">
        <w:rPr>
          <w:rStyle w:val="Refdenotaderodap"/>
          <w:rFonts w:eastAsia="Times New Roman" w:cs="Arial"/>
          <w:b/>
          <w:bCs/>
          <w:sz w:val="18"/>
          <w:szCs w:val="18"/>
          <w:lang w:eastAsia="pt-BR"/>
        </w:rPr>
        <w:footnoteReference w:id="2"/>
      </w:r>
      <w:r w:rsidRPr="00364CF2">
        <w:rPr>
          <w:rFonts w:eastAsia="Times New Roman" w:cs="Arial"/>
          <w:bCs/>
          <w:sz w:val="18"/>
          <w:szCs w:val="18"/>
          <w:lang w:eastAsia="pt-BR"/>
        </w:rPr>
        <w:t>,</w:t>
      </w:r>
      <w:r w:rsidRPr="00364CF2">
        <w:rPr>
          <w:rFonts w:eastAsia="Times New Roman" w:cs="Arial"/>
          <w:sz w:val="18"/>
          <w:szCs w:val="18"/>
          <w:lang w:eastAsia="pt-BR"/>
        </w:rPr>
        <w:t xml:space="preserve"> conforme orientações abaixo</w:t>
      </w:r>
      <w:r w:rsidRPr="00364CF2">
        <w:rPr>
          <w:rFonts w:eastAsia="Times New Roman" w:cs="Arial"/>
          <w:b/>
          <w:bCs/>
          <w:sz w:val="18"/>
          <w:szCs w:val="18"/>
          <w:lang w:eastAsia="pt-BR"/>
        </w:rPr>
        <w:t>:</w:t>
      </w:r>
    </w:p>
    <w:p w14:paraId="2EC17AFB" w14:textId="57DEEB1B" w:rsidR="00D26D11" w:rsidRDefault="00D26D11" w:rsidP="00D26D11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b/>
          <w:sz w:val="18"/>
          <w:szCs w:val="18"/>
          <w:lang w:eastAsia="pt-BR"/>
        </w:rPr>
        <w:t>$audienciaTipo</w:t>
      </w:r>
      <w:r>
        <w:rPr>
          <w:rFonts w:eastAsia="Times New Roman" w:cs="Arial"/>
          <w:sz w:val="18"/>
          <w:szCs w:val="18"/>
          <w:lang w:eastAsia="pt-BR"/>
        </w:rPr>
        <w:t xml:space="preserve"> designada</w:t>
      </w:r>
    </w:p>
    <w:p w14:paraId="4F97C966" w14:textId="77777777" w:rsidR="00D26D11" w:rsidRDefault="00D26D11" w:rsidP="00D26D11">
      <w:pPr>
        <w:spacing w:after="0" w:line="240" w:lineRule="auto"/>
        <w:rPr>
          <w:rFonts w:eastAsia="Times New Roman" w:cs="Arial"/>
          <w:b/>
          <w:sz w:val="18"/>
          <w:szCs w:val="18"/>
          <w:lang w:eastAsia="pt-BR"/>
        </w:rPr>
      </w:pPr>
      <w:r>
        <w:rPr>
          <w:rFonts w:eastAsia="Times New Roman" w:cs="Arial"/>
          <w:b/>
          <w:sz w:val="18"/>
          <w:szCs w:val="18"/>
          <w:lang w:eastAsia="pt-BR"/>
        </w:rPr>
        <w:t>Data e Hora: $audienciaDataHora</w:t>
      </w:r>
    </w:p>
    <w:p w14:paraId="404B95E0" w14:textId="0D161C35" w:rsidR="00D26D11" w:rsidRDefault="00D26D11" w:rsidP="00D26D11">
      <w:pPr>
        <w:spacing w:after="0" w:line="240" w:lineRule="auto"/>
        <w:jc w:val="both"/>
        <w:rPr>
          <w:rFonts w:eastAsia="Times New Roman" w:cs="Arial"/>
          <w:b/>
          <w:bCs/>
          <w:iCs/>
          <w:color w:val="3300FF"/>
          <w:sz w:val="18"/>
          <w:szCs w:val="18"/>
          <w:lang w:eastAsia="pt-BR"/>
        </w:rPr>
      </w:pPr>
      <w:r>
        <w:rPr>
          <w:rFonts w:eastAsia="Times New Roman" w:cs="Arial"/>
          <w:b/>
          <w:sz w:val="18"/>
          <w:szCs w:val="18"/>
          <w:lang w:eastAsia="pt-BR"/>
        </w:rPr>
        <w:t>Modalidade</w:t>
      </w:r>
      <w:r>
        <w:rPr>
          <w:rStyle w:val="Refdenotaderodap"/>
          <w:rFonts w:eastAsia="Times New Roman" w:cs="Arial"/>
          <w:b/>
          <w:sz w:val="18"/>
          <w:szCs w:val="18"/>
          <w:lang w:eastAsia="pt-BR"/>
        </w:rPr>
        <w:footnoteReference w:id="3"/>
      </w:r>
      <w:r>
        <w:rPr>
          <w:rFonts w:eastAsia="Times New Roman" w:cs="Arial"/>
          <w:b/>
          <w:sz w:val="18"/>
          <w:szCs w:val="18"/>
          <w:lang w:eastAsia="pt-BR"/>
        </w:rPr>
        <w:t>: $audienciaModalidade</w:t>
      </w:r>
    </w:p>
    <w:p w14:paraId="041F5E3E" w14:textId="0C03EE5A" w:rsidR="006421CC" w:rsidRPr="00364CF2" w:rsidRDefault="00D26D11" w:rsidP="006421CC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b/>
          <w:bCs/>
          <w:sz w:val="18"/>
          <w:szCs w:val="18"/>
          <w:lang w:eastAsia="pt-BR"/>
        </w:rPr>
        <w:t>1.</w:t>
      </w:r>
      <w:r w:rsidR="00CE2091" w:rsidRPr="00364CF2">
        <w:rPr>
          <w:rFonts w:eastAsia="Times New Roman" w:cs="Arial"/>
          <w:b/>
          <w:bCs/>
          <w:sz w:val="18"/>
          <w:szCs w:val="18"/>
          <w:lang w:eastAsia="pt-BR"/>
        </w:rPr>
        <w:t>2</w:t>
      </w:r>
      <w:r>
        <w:rPr>
          <w:rFonts w:eastAsia="Times New Roman" w:cs="Arial"/>
          <w:b/>
          <w:bCs/>
          <w:sz w:val="18"/>
          <w:szCs w:val="18"/>
          <w:lang w:eastAsia="pt-BR"/>
        </w:rPr>
        <w:t>.</w:t>
      </w:r>
      <w:r w:rsidR="006421CC" w:rsidRPr="00364CF2">
        <w:rPr>
          <w:rFonts w:eastAsia="Times New Roman" w:cs="Arial"/>
          <w:sz w:val="18"/>
          <w:szCs w:val="18"/>
          <w:lang w:eastAsia="pt-BR"/>
        </w:rPr>
        <w:t xml:space="preserve"> </w:t>
      </w:r>
      <w:r w:rsidR="006421CC" w:rsidRPr="00364CF2">
        <w:rPr>
          <w:rFonts w:eastAsia="Times New Roman" w:cs="Arial"/>
          <w:b/>
          <w:bCs/>
          <w:sz w:val="18"/>
          <w:szCs w:val="18"/>
          <w:lang w:eastAsia="pt-BR"/>
        </w:rPr>
        <w:t>Informar se</w:t>
      </w:r>
      <w:r w:rsidR="00464DAB" w:rsidRPr="00364CF2">
        <w:rPr>
          <w:rFonts w:eastAsia="Times New Roman" w:cs="Arial"/>
          <w:b/>
          <w:bCs/>
          <w:sz w:val="18"/>
          <w:szCs w:val="18"/>
          <w:lang w:eastAsia="pt-BR"/>
        </w:rPr>
        <w:t xml:space="preserve"> a paternidade</w:t>
      </w:r>
      <w:r w:rsidR="006421CC" w:rsidRPr="00364CF2">
        <w:rPr>
          <w:rFonts w:eastAsia="Times New Roman" w:cs="Arial"/>
          <w:b/>
          <w:bCs/>
          <w:sz w:val="18"/>
          <w:szCs w:val="18"/>
          <w:lang w:eastAsia="pt-BR"/>
        </w:rPr>
        <w:t xml:space="preserve"> foi registrada na Certidão de Nascimento </w:t>
      </w:r>
      <w:r w:rsidR="00464DAB" w:rsidRPr="00364CF2">
        <w:rPr>
          <w:rFonts w:eastAsia="Times New Roman" w:cs="Arial"/>
          <w:b/>
          <w:bCs/>
          <w:sz w:val="18"/>
          <w:szCs w:val="18"/>
          <w:lang w:eastAsia="pt-BR"/>
        </w:rPr>
        <w:t>da criança</w:t>
      </w:r>
      <w:r w:rsidR="00013ED9" w:rsidRPr="00364CF2">
        <w:rPr>
          <w:rFonts w:eastAsia="Times New Roman" w:cs="Arial"/>
          <w:sz w:val="18"/>
          <w:szCs w:val="18"/>
          <w:lang w:eastAsia="pt-BR"/>
        </w:rPr>
        <w:t>. Caso a resposta seja positiva,</w:t>
      </w:r>
      <w:r w:rsidR="006421CC" w:rsidRPr="00364CF2">
        <w:rPr>
          <w:rFonts w:eastAsia="Times New Roman" w:cs="Arial"/>
          <w:sz w:val="18"/>
          <w:szCs w:val="18"/>
          <w:lang w:eastAsia="pt-BR"/>
        </w:rPr>
        <w:t xml:space="preserve"> </w:t>
      </w:r>
      <w:r w:rsidR="006421CC" w:rsidRPr="00364CF2">
        <w:rPr>
          <w:rFonts w:eastAsia="Times New Roman" w:cs="Arial"/>
          <w:sz w:val="18"/>
          <w:szCs w:val="18"/>
          <w:u w:val="single"/>
          <w:lang w:eastAsia="pt-BR"/>
        </w:rPr>
        <w:t>deve</w:t>
      </w:r>
      <w:r w:rsidR="00013ED9" w:rsidRPr="00364CF2">
        <w:rPr>
          <w:rFonts w:eastAsia="Times New Roman" w:cs="Arial"/>
          <w:sz w:val="18"/>
          <w:szCs w:val="18"/>
          <w:u w:val="single"/>
          <w:lang w:eastAsia="pt-BR"/>
        </w:rPr>
        <w:t>rá</w:t>
      </w:r>
      <w:r w:rsidR="006421CC" w:rsidRPr="00364CF2">
        <w:rPr>
          <w:rFonts w:eastAsia="Times New Roman" w:cs="Arial"/>
          <w:sz w:val="18"/>
          <w:szCs w:val="18"/>
          <w:u w:val="single"/>
          <w:lang w:eastAsia="pt-BR"/>
        </w:rPr>
        <w:t xml:space="preserve"> apresentar a certidão com o nome do genitor</w:t>
      </w:r>
      <w:r w:rsidR="006421CC" w:rsidRPr="00364CF2">
        <w:rPr>
          <w:rFonts w:eastAsia="Times New Roman" w:cs="Arial"/>
          <w:sz w:val="18"/>
          <w:szCs w:val="18"/>
          <w:lang w:eastAsia="pt-BR"/>
        </w:rPr>
        <w:t>, devendo ser digitalizado o documento e anexado ao cumprimento do mandado.</w:t>
      </w:r>
    </w:p>
    <w:p w14:paraId="3E011772" w14:textId="37F2A382" w:rsidR="006421CC" w:rsidRDefault="006421CC" w:rsidP="006421CC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364CF2">
        <w:rPr>
          <w:rFonts w:eastAsia="Times New Roman" w:cs="Arial"/>
          <w:sz w:val="18"/>
          <w:szCs w:val="18"/>
          <w:lang w:eastAsia="pt-BR"/>
        </w:rPr>
        <w:t>Eventualmente, caso não esteja com a Certidão de Nascimento em mãos, deverá encaminhar o documento</w:t>
      </w:r>
      <w:r w:rsidR="00DE4464" w:rsidRPr="00364CF2">
        <w:rPr>
          <w:rFonts w:cs="Arial"/>
          <w:sz w:val="18"/>
          <w:szCs w:val="18"/>
        </w:rPr>
        <w:t xml:space="preserve"> à Secretaria</w:t>
      </w:r>
      <w:r w:rsidRPr="00364CF2">
        <w:rPr>
          <w:rFonts w:eastAsia="Times New Roman" w:cs="Arial"/>
          <w:sz w:val="18"/>
          <w:szCs w:val="18"/>
          <w:lang w:eastAsia="pt-BR"/>
        </w:rPr>
        <w:t xml:space="preserve"> </w:t>
      </w:r>
      <w:r w:rsidRPr="00364CF2">
        <w:rPr>
          <w:rFonts w:eastAsia="Times New Roman" w:cs="Arial"/>
          <w:b/>
          <w:bCs/>
          <w:sz w:val="18"/>
          <w:szCs w:val="18"/>
          <w:lang w:eastAsia="pt-BR"/>
        </w:rPr>
        <w:t>até a data da audiência</w:t>
      </w:r>
      <w:r w:rsidRPr="00364CF2">
        <w:rPr>
          <w:rFonts w:eastAsia="Times New Roman" w:cs="Arial"/>
          <w:sz w:val="18"/>
          <w:szCs w:val="18"/>
          <w:lang w:eastAsia="pt-BR"/>
        </w:rPr>
        <w:t xml:space="preserve">, via aplicativo de mensagens </w:t>
      </w:r>
      <w:r w:rsidRPr="00364CF2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364CF2">
        <w:rPr>
          <w:rFonts w:eastAsia="Times New Roman" w:cs="Arial"/>
          <w:sz w:val="18"/>
          <w:szCs w:val="18"/>
          <w:lang w:eastAsia="pt-BR"/>
        </w:rPr>
        <w:t xml:space="preserve"> (</w:t>
      </w:r>
      <w:r w:rsidR="00055D6B" w:rsidRPr="00364CF2">
        <w:rPr>
          <w:rFonts w:eastAsia="Times New Roman" w:cs="Arial"/>
          <w:sz w:val="18"/>
          <w:szCs w:val="18"/>
          <w:lang w:eastAsia="pt-BR"/>
        </w:rPr>
        <w:t>através do telefone institucional informado no cabeçalho)</w:t>
      </w:r>
      <w:r w:rsidRPr="00364CF2">
        <w:rPr>
          <w:rFonts w:eastAsia="Times New Roman" w:cs="Arial"/>
          <w:sz w:val="18"/>
          <w:szCs w:val="18"/>
          <w:lang w:eastAsia="pt-BR"/>
        </w:rPr>
        <w:t xml:space="preserve"> </w:t>
      </w:r>
      <w:r w:rsidRPr="00364CF2">
        <w:rPr>
          <w:rFonts w:cs="Arial"/>
          <w:sz w:val="18"/>
          <w:szCs w:val="18"/>
        </w:rPr>
        <w:t xml:space="preserve">ou balcão virtual acessível ao endereço </w:t>
      </w:r>
      <w:hyperlink r:id="rId10" w:history="1">
        <w:r w:rsidRPr="00364CF2">
          <w:rPr>
            <w:rStyle w:val="Hyperlink"/>
            <w:rFonts w:cs="Arial"/>
            <w:sz w:val="18"/>
            <w:szCs w:val="18"/>
          </w:rPr>
          <w:t>https://www.tjpr.jus.br/endereco-de-orgaos-do-judiciario</w:t>
        </w:r>
      </w:hyperlink>
      <w:r w:rsidRPr="00364CF2">
        <w:rPr>
          <w:rFonts w:eastAsia="Times New Roman" w:cs="Arial"/>
          <w:sz w:val="18"/>
          <w:szCs w:val="18"/>
          <w:lang w:eastAsia="pt-BR"/>
        </w:rPr>
        <w:t xml:space="preserve"> ou, ainda, entregar pessoalmente </w:t>
      </w:r>
      <w:r w:rsidR="00464DAB" w:rsidRPr="00364CF2">
        <w:rPr>
          <w:rFonts w:eastAsia="Times New Roman" w:cs="Arial"/>
          <w:sz w:val="18"/>
          <w:szCs w:val="18"/>
          <w:lang w:eastAsia="pt-BR"/>
        </w:rPr>
        <w:t>na</w:t>
      </w:r>
      <w:r w:rsidRPr="00364CF2">
        <w:rPr>
          <w:rFonts w:eastAsia="Times New Roman" w:cs="Arial"/>
          <w:sz w:val="18"/>
          <w:szCs w:val="18"/>
          <w:lang w:eastAsia="pt-BR"/>
        </w:rPr>
        <w:t xml:space="preserve"> Secretaria (atendimento </w:t>
      </w:r>
      <w:r w:rsidRPr="00364CF2">
        <w:rPr>
          <w:rFonts w:cs="Arial"/>
          <w:sz w:val="18"/>
          <w:szCs w:val="18"/>
        </w:rPr>
        <w:t>de segunda à sexta-feira das 12:00 às 18:00)</w:t>
      </w:r>
      <w:r w:rsidR="00464DAB" w:rsidRPr="00364CF2">
        <w:rPr>
          <w:rFonts w:cs="Arial"/>
          <w:sz w:val="18"/>
          <w:szCs w:val="18"/>
        </w:rPr>
        <w:t>,</w:t>
      </w:r>
      <w:r w:rsidR="00464DAB" w:rsidRPr="00E8577E">
        <w:rPr>
          <w:rFonts w:eastAsia="Times New Roman" w:cs="Arial"/>
          <w:sz w:val="18"/>
          <w:szCs w:val="18"/>
          <w:lang w:eastAsia="pt-BR"/>
        </w:rPr>
        <w:t xml:space="preserve"> </w:t>
      </w:r>
      <w:r w:rsidR="00CE6B7E" w:rsidRPr="00364CF2">
        <w:rPr>
          <w:rFonts w:eastAsia="Times New Roman" w:cs="Arial"/>
          <w:sz w:val="18"/>
          <w:szCs w:val="18"/>
          <w:u w:val="single"/>
          <w:lang w:eastAsia="pt-BR"/>
        </w:rPr>
        <w:t>sob pena de ser condenada a pagar a próxima diligência de intimação</w:t>
      </w:r>
      <w:r w:rsidR="00CE6B7E" w:rsidRPr="00364CF2">
        <w:rPr>
          <w:rFonts w:eastAsia="Times New Roman" w:cs="Arial"/>
          <w:sz w:val="18"/>
          <w:szCs w:val="18"/>
          <w:lang w:eastAsia="pt-BR"/>
        </w:rPr>
        <w:t>.</w:t>
      </w:r>
    </w:p>
    <w:p w14:paraId="7277853F" w14:textId="6E3FA59D" w:rsidR="00D26D11" w:rsidRDefault="00D26D11" w:rsidP="006421CC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69CD9398" w14:textId="536713EA" w:rsidR="00D26D11" w:rsidRDefault="00D26D11" w:rsidP="00D26D1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EM CASO DE AUDIÊNCIA NA MODALIDADE VIRTUAL</w:t>
      </w:r>
      <w:r w:rsidRPr="006A52FA">
        <w:rPr>
          <w:rStyle w:val="Refdenotaderodap"/>
          <w:rFonts w:cs="Arial"/>
          <w:b/>
          <w:bCs/>
          <w:sz w:val="18"/>
          <w:szCs w:val="18"/>
          <w:u w:val="single"/>
        </w:rPr>
        <w:footnoteReference w:id="4"/>
      </w:r>
      <w:r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, DEVE</w:t>
      </w:r>
      <w:r w:rsidR="002E4AB0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2E4AB0">
        <w:rPr>
          <w:rFonts w:ascii="Arial" w:hAnsi="Arial" w:cs="Arial"/>
          <w:b/>
          <w:sz w:val="18"/>
          <w:szCs w:val="18"/>
          <w:u w:val="single"/>
        </w:rPr>
        <w:t>PROCEDER À</w:t>
      </w:r>
      <w:r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:</w:t>
      </w:r>
      <w:r>
        <w:rPr>
          <w:rStyle w:val="normaltextrun"/>
          <w:rFonts w:ascii="Arial" w:hAnsi="Arial" w:cs="Arial"/>
          <w:sz w:val="18"/>
          <w:szCs w:val="18"/>
        </w:rPr>
        <w:t> </w:t>
      </w:r>
      <w:r>
        <w:rPr>
          <w:rStyle w:val="eop"/>
          <w:rFonts w:cs="Arial"/>
          <w:sz w:val="18"/>
          <w:szCs w:val="18"/>
        </w:rPr>
        <w:t> </w:t>
      </w:r>
    </w:p>
    <w:p w14:paraId="0EA41C97" w14:textId="01E70A5C" w:rsidR="00D26D11" w:rsidRDefault="00D26D11" w:rsidP="00D26D1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2.</w:t>
      </w:r>
      <w:r>
        <w:rPr>
          <w:rStyle w:val="normaltextrun"/>
          <w:rFonts w:ascii="Arial" w:hAnsi="Arial" w:cs="Arial"/>
          <w:sz w:val="18"/>
          <w:szCs w:val="18"/>
        </w:rPr>
        <w:t xml:space="preserve"> </w:t>
      </w:r>
      <w:r w:rsidR="002E4AB0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INDAGAÇÃO</w:t>
      </w:r>
      <w:r w:rsidR="002E4AB0">
        <w:rPr>
          <w:rStyle w:val="normaltextrun"/>
          <w:rFonts w:ascii="Arial" w:hAnsi="Arial" w:cs="Arial"/>
          <w:sz w:val="18"/>
          <w:szCs w:val="18"/>
        </w:rPr>
        <w:t xml:space="preserve"> à parte</w:t>
      </w:r>
      <w:r w:rsidR="002E4AB0" w:rsidRPr="00E8577E">
        <w:rPr>
          <w:rStyle w:val="Hyperlink"/>
          <w:rFonts w:ascii="Arial" w:hAnsi="Arial" w:cs="Arial"/>
          <w:sz w:val="18"/>
          <w:szCs w:val="18"/>
          <w:u w:val="none"/>
        </w:rPr>
        <w:t xml:space="preserve"> </w:t>
      </w:r>
      <w:r>
        <w:rPr>
          <w:rStyle w:val="normaltextrun"/>
          <w:rFonts w:ascii="Arial" w:hAnsi="Arial" w:cs="Arial"/>
          <w:sz w:val="18"/>
          <w:szCs w:val="18"/>
        </w:rPr>
        <w:t xml:space="preserve">se possui estrutura técnica (celular ou computador com internet) para a participação, conforme </w:t>
      </w:r>
      <w:r>
        <w:rPr>
          <w:rStyle w:val="normaltextrun"/>
          <w:rFonts w:ascii="Arial" w:hAnsi="Arial" w:cs="Arial"/>
          <w:sz w:val="18"/>
          <w:szCs w:val="18"/>
          <w:u w:val="single"/>
        </w:rPr>
        <w:t>instruções ao final</w:t>
      </w:r>
      <w:r>
        <w:rPr>
          <w:rStyle w:val="normaltextrun"/>
          <w:rFonts w:ascii="Arial" w:hAnsi="Arial" w:cs="Arial"/>
          <w:sz w:val="18"/>
          <w:szCs w:val="18"/>
        </w:rPr>
        <w:t xml:space="preserve"> deste documento.</w:t>
      </w:r>
      <w:r>
        <w:rPr>
          <w:rStyle w:val="eop"/>
          <w:rFonts w:cs="Arial"/>
          <w:sz w:val="18"/>
          <w:szCs w:val="18"/>
        </w:rPr>
        <w:t> </w:t>
      </w:r>
    </w:p>
    <w:p w14:paraId="48E995B0" w14:textId="77777777" w:rsidR="00D26D11" w:rsidRDefault="00D26D11" w:rsidP="00D26D1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</w:rPr>
        <w:t>PODERÁ PARTICIPAR DA AUDIÊNCIA VIRTUAL DE FORMA TELEPRESENCIAL: (    ) SIM (    ) NÃO </w:t>
      </w:r>
      <w:r>
        <w:rPr>
          <w:rStyle w:val="eop"/>
          <w:rFonts w:cs="Arial"/>
          <w:sz w:val="18"/>
          <w:szCs w:val="18"/>
        </w:rPr>
        <w:t> </w:t>
      </w:r>
    </w:p>
    <w:p w14:paraId="442049B1" w14:textId="77777777" w:rsidR="00D26D11" w:rsidRDefault="00D26D11" w:rsidP="00D26D1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IMPORTANTE: </w:t>
      </w:r>
      <w:r>
        <w:rPr>
          <w:rStyle w:val="normaltextrun"/>
          <w:rFonts w:ascii="Arial" w:hAnsi="Arial" w:cs="Arial"/>
          <w:sz w:val="18"/>
          <w:szCs w:val="18"/>
        </w:rPr>
        <w:t> </w:t>
      </w:r>
      <w:r>
        <w:rPr>
          <w:rStyle w:val="eop"/>
          <w:rFonts w:cs="Arial"/>
          <w:sz w:val="18"/>
          <w:szCs w:val="18"/>
        </w:rPr>
        <w:t> </w:t>
      </w:r>
    </w:p>
    <w:p w14:paraId="25B7F374" w14:textId="77777777" w:rsidR="00D26D11" w:rsidRDefault="00D26D11" w:rsidP="00D26D1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a)</w:t>
      </w:r>
      <w:r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F332F4">
        <w:rPr>
          <w:rFonts w:ascii="Arial" w:hAnsi="Arial" w:cs="Arial"/>
          <w:sz w:val="18"/>
          <w:szCs w:val="18"/>
          <w:u w:val="single"/>
        </w:rPr>
        <w:t>Sendo inviável tecnicamente a participação em audiência telepresencial</w:t>
      </w:r>
      <w:r w:rsidRPr="00F332F4">
        <w:rPr>
          <w:rFonts w:ascii="Arial" w:hAnsi="Arial" w:cs="Arial"/>
          <w:sz w:val="18"/>
          <w:szCs w:val="18"/>
        </w:rPr>
        <w:t>, deve comparecer presencialmente ao endereço informado ao início deste documento, na data e hora marcadas</w:t>
      </w:r>
      <w:r w:rsidRPr="00F332F4">
        <w:rPr>
          <w:rFonts w:ascii="Arial" w:eastAsia="Arial" w:hAnsi="Arial" w:cs="Arial"/>
          <w:sz w:val="18"/>
          <w:szCs w:val="18"/>
        </w:rPr>
        <w:t>, com antecedência mínima de 30 (trinta) minutos, levando um documento de identificação com foto;</w:t>
      </w:r>
      <w:r>
        <w:rPr>
          <w:rStyle w:val="eop"/>
          <w:rFonts w:cs="Arial"/>
          <w:sz w:val="18"/>
          <w:szCs w:val="18"/>
        </w:rPr>
        <w:t> </w:t>
      </w:r>
    </w:p>
    <w:p w14:paraId="1D036F0D" w14:textId="77777777" w:rsidR="00D26D11" w:rsidRDefault="00D26D11" w:rsidP="00D26D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 xml:space="preserve">b) </w:t>
      </w:r>
      <w:r>
        <w:rPr>
          <w:rStyle w:val="normaltextrun"/>
          <w:rFonts w:ascii="Arial" w:hAnsi="Arial" w:cs="Arial"/>
          <w:sz w:val="18"/>
          <w:szCs w:val="18"/>
          <w:u w:val="single"/>
        </w:rPr>
        <w:t>Se não puder participar da audiência marcada</w:t>
      </w:r>
      <w:r>
        <w:rPr>
          <w:rStyle w:val="normaltextrun"/>
          <w:rFonts w:ascii="Arial" w:hAnsi="Arial" w:cs="Arial"/>
          <w:sz w:val="18"/>
          <w:szCs w:val="18"/>
        </w:rPr>
        <w:t>, deve entrar em contato antecipadamente com a Secretaria da Unidade Judiciária e solicitar a remarcação;</w:t>
      </w:r>
    </w:p>
    <w:p w14:paraId="1AC16F40" w14:textId="27C80B42" w:rsidR="00D26D11" w:rsidRPr="00364CF2" w:rsidRDefault="00D26D11" w:rsidP="00D26D11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b/>
          <w:sz w:val="18"/>
          <w:szCs w:val="18"/>
          <w:lang w:eastAsia="pt-BR"/>
        </w:rPr>
        <w:t>c)</w:t>
      </w:r>
      <w:r>
        <w:rPr>
          <w:rFonts w:eastAsia="Times New Roman" w:cs="Arial"/>
          <w:sz w:val="18"/>
          <w:szCs w:val="18"/>
          <w:lang w:eastAsia="pt-BR"/>
        </w:rPr>
        <w:t xml:space="preserve"> A oposição à realização de audiência telepresencial deve ser fundamentada, submetendo-se ao controle judicial.</w:t>
      </w:r>
    </w:p>
    <w:p w14:paraId="28179E4A" w14:textId="53B1A2FF" w:rsidR="00DF07E5" w:rsidRDefault="00DF07E5" w:rsidP="004A1D71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60C6E395" w14:textId="5ED6AAB8" w:rsidR="00D26D11" w:rsidRDefault="00D26D11" w:rsidP="004A1D71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291036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291036">
        <w:rPr>
          <w:rFonts w:eastAsia="Times New Roman" w:cs="Arial"/>
          <w:sz w:val="18"/>
          <w:szCs w:val="18"/>
          <w:lang w:eastAsia="pt-BR"/>
        </w:rPr>
        <w:t>Caso necessário, a Secretaria pode ser conta</w:t>
      </w:r>
      <w:r>
        <w:rPr>
          <w:rFonts w:eastAsia="Times New Roman" w:cs="Arial"/>
          <w:sz w:val="18"/>
          <w:szCs w:val="18"/>
          <w:lang w:eastAsia="pt-BR"/>
        </w:rPr>
        <w:t>ta</w:t>
      </w:r>
      <w:r w:rsidRPr="00291036">
        <w:rPr>
          <w:rFonts w:eastAsia="Times New Roman" w:cs="Arial"/>
          <w:sz w:val="18"/>
          <w:szCs w:val="18"/>
          <w:lang w:eastAsia="pt-BR"/>
        </w:rPr>
        <w:t>da</w:t>
      </w:r>
      <w:r w:rsidRPr="00291036">
        <w:rPr>
          <w:rFonts w:cs="Arial"/>
          <w:sz w:val="18"/>
          <w:szCs w:val="18"/>
        </w:rPr>
        <w:t xml:space="preserve"> 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291036">
        <w:rPr>
          <w:rFonts w:eastAsia="Arial" w:cs="Arial"/>
          <w:sz w:val="18"/>
          <w:szCs w:val="18"/>
        </w:rPr>
        <w:t>por meio de uma das seguintes formas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: </w:t>
      </w:r>
      <w:r w:rsidRPr="0088214B">
        <w:rPr>
          <w:rFonts w:eastAsia="Times New Roman" w:cs="Arial"/>
          <w:b/>
          <w:sz w:val="18"/>
          <w:szCs w:val="18"/>
          <w:lang w:eastAsia="pt-BR"/>
        </w:rPr>
        <w:t>a)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11" w:history="1">
        <w:r w:rsidRPr="00291036">
          <w:rPr>
            <w:rStyle w:val="Hyperlink"/>
            <w:rFonts w:eastAsia="Times New Roman" w:cs="Arial"/>
            <w:sz w:val="18"/>
            <w:szCs w:val="18"/>
            <w:lang w:eastAsia="pt-BR"/>
          </w:rPr>
          <w:t>https://www.tjpr.jus.br/endereco-de-orgaos-do-judiciario</w:t>
        </w:r>
      </w:hyperlink>
      <w:r w:rsidRPr="00291036">
        <w:rPr>
          <w:rFonts w:eastAsia="Times New Roman" w:cs="Arial"/>
          <w:sz w:val="18"/>
          <w:szCs w:val="18"/>
          <w:lang w:eastAsia="pt-BR"/>
        </w:rPr>
        <w:t xml:space="preserve">; </w:t>
      </w:r>
      <w:r w:rsidRPr="0088214B">
        <w:rPr>
          <w:rFonts w:eastAsia="Times New Roman" w:cs="Arial"/>
          <w:b/>
          <w:sz w:val="18"/>
          <w:szCs w:val="18"/>
          <w:lang w:eastAsia="pt-BR"/>
        </w:rPr>
        <w:t>b)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291036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291036">
        <w:rPr>
          <w:rFonts w:eastAsia="Times New Roman" w:cs="Arial"/>
          <w:b/>
          <w:sz w:val="18"/>
          <w:szCs w:val="18"/>
          <w:lang w:eastAsia="pt-BR"/>
        </w:rPr>
        <w:t>c)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291036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291036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291036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p w14:paraId="6C604D53" w14:textId="77777777" w:rsidR="00D26D11" w:rsidRPr="00364CF2" w:rsidRDefault="00D26D11" w:rsidP="004A1D71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6386C646" w14:textId="77777777" w:rsidR="00364CF2" w:rsidRPr="005E22C2" w:rsidRDefault="00364CF2" w:rsidP="00364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5E22C2">
        <w:rPr>
          <w:rFonts w:eastAsia="Times New Roman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06F79BB6" w14:textId="694A98BA" w:rsidR="00B96159" w:rsidRPr="00E8577E" w:rsidRDefault="00364CF2" w:rsidP="00B96159">
      <w:pPr>
        <w:spacing w:after="0" w:line="240" w:lineRule="auto"/>
        <w:jc w:val="center"/>
        <w:rPr>
          <w:rFonts w:eastAsia="Times New Roman" w:cs="Arial"/>
          <w:sz w:val="20"/>
          <w:szCs w:val="20"/>
          <w:lang w:eastAsia="pt-BR"/>
        </w:rPr>
      </w:pPr>
      <w:r w:rsidRPr="005E22C2">
        <w:rPr>
          <w:rFonts w:eastAsia="Times New Roman" w:cs="Arial"/>
          <w:i/>
          <w:iCs/>
          <w:sz w:val="14"/>
          <w:szCs w:val="14"/>
          <w:lang w:eastAsia="pt-BR"/>
        </w:rPr>
        <w:t>(Assinatura autorizada pelo Decreto Judiciário n</w:t>
      </w:r>
      <w:r>
        <w:rPr>
          <w:rFonts w:eastAsia="Times New Roman" w:cs="Arial"/>
          <w:i/>
          <w:iCs/>
          <w:sz w:val="14"/>
          <w:szCs w:val="14"/>
          <w:lang w:eastAsia="pt-BR"/>
        </w:rPr>
        <w:t xml:space="preserve">º </w:t>
      </w:r>
      <w:r w:rsidRPr="005E22C2">
        <w:rPr>
          <w:rFonts w:eastAsia="Times New Roman" w:cs="Arial"/>
          <w:i/>
          <w:iCs/>
          <w:sz w:val="14"/>
          <w:szCs w:val="14"/>
          <w:lang w:eastAsia="pt-BR"/>
        </w:rPr>
        <w:t>7</w:t>
      </w:r>
      <w:r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Pr="005E22C2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5E22C2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641D55C7" w14:textId="798179D5" w:rsidR="00B96159" w:rsidRPr="00E8577E" w:rsidRDefault="00364CF2" w:rsidP="00B96159">
      <w:pPr>
        <w:spacing w:after="0" w:line="240" w:lineRule="auto"/>
        <w:jc w:val="both"/>
        <w:rPr>
          <w:rFonts w:eastAsia="Times New Roman" w:cs="Arial"/>
          <w:sz w:val="14"/>
          <w:szCs w:val="14"/>
          <w:lang w:eastAsia="pt-BR"/>
        </w:rPr>
      </w:pP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Projudi no endereço eletrônico </w:t>
      </w: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documentos à presente comunicação, estes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 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2C2A21">
        <w:rPr>
          <w:rFonts w:eastAsia="Times New Roman" w:cs="Arial"/>
          <w:sz w:val="14"/>
          <w:szCs w:val="14"/>
          <w:lang w:eastAsia="pt-BR"/>
        </w:rPr>
        <w:t>. </w:t>
      </w:r>
      <w:r>
        <w:rPr>
          <w:rFonts w:eastAsia="Times New Roman" w:cs="Arial"/>
          <w:sz w:val="14"/>
          <w:szCs w:val="14"/>
          <w:lang w:eastAsia="pt-BR"/>
        </w:rPr>
        <w:t xml:space="preserve">O conteúdo integral do processo poderá ser acessado, dependendo do seu nível de sigilo e do(a) destinatário(a) desta comunicação, 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pelo(a) advogado(a) habilitado(a) nos autos ou pela parte, </w:t>
      </w:r>
      <w:r>
        <w:rPr>
          <w:rFonts w:eastAsia="Times New Roman" w:cs="Arial"/>
          <w:sz w:val="14"/>
          <w:szCs w:val="14"/>
          <w:lang w:eastAsia="pt-BR"/>
        </w:rPr>
        <w:t xml:space="preserve">através de senha de acesso pessoal ao sistema Projudi, que deverá ser solicitada à Secretaria da Unidade Judicial. </w:t>
      </w:r>
      <w:r w:rsidRPr="00E947D5">
        <w:rPr>
          <w:rFonts w:eastAsia="Times New Roman" w:cs="Arial"/>
          <w:i/>
          <w:sz w:val="14"/>
          <w:szCs w:val="14"/>
          <w:lang w:eastAsia="pt-BR"/>
        </w:rPr>
        <w:t>O processo apresenta consulta pública restringida por tratar-se de Segredo de Justiça, nos termos do art. 189, inc. II e § 1º, CPC</w:t>
      </w:r>
      <w:r w:rsidRPr="006A52FA">
        <w:rPr>
          <w:rFonts w:eastAsia="Times New Roman" w:cs="Arial"/>
          <w:sz w:val="14"/>
          <w:szCs w:val="14"/>
          <w:lang w:eastAsia="pt-BR"/>
        </w:rPr>
        <w:t>.</w:t>
      </w:r>
    </w:p>
    <w:sectPr w:rsidR="00B96159" w:rsidRPr="00E857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76F7F" w14:textId="77777777" w:rsidR="00725C70" w:rsidRDefault="00725C70" w:rsidP="00D736C7">
      <w:pPr>
        <w:spacing w:after="0" w:line="240" w:lineRule="auto"/>
      </w:pPr>
      <w:r>
        <w:separator/>
      </w:r>
    </w:p>
  </w:endnote>
  <w:endnote w:type="continuationSeparator" w:id="0">
    <w:p w14:paraId="5EEF443B" w14:textId="77777777" w:rsidR="00725C70" w:rsidRDefault="00725C70" w:rsidP="00D73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CE7E7" w14:textId="77777777" w:rsidR="00725C70" w:rsidRDefault="00725C70" w:rsidP="00D736C7">
      <w:pPr>
        <w:spacing w:after="0" w:line="240" w:lineRule="auto"/>
      </w:pPr>
      <w:r>
        <w:separator/>
      </w:r>
    </w:p>
  </w:footnote>
  <w:footnote w:type="continuationSeparator" w:id="0">
    <w:p w14:paraId="7F6F3CBE" w14:textId="77777777" w:rsidR="00725C70" w:rsidRDefault="00725C70" w:rsidP="00D736C7">
      <w:pPr>
        <w:spacing w:after="0" w:line="240" w:lineRule="auto"/>
      </w:pPr>
      <w:r>
        <w:continuationSeparator/>
      </w:r>
    </w:p>
  </w:footnote>
  <w:footnote w:id="1">
    <w:p w14:paraId="66324EC2" w14:textId="1265793B" w:rsidR="00E90A7F" w:rsidRPr="006106E5" w:rsidRDefault="00E90A7F" w:rsidP="00E90A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622B0B">
        <w:rPr>
          <w:rStyle w:val="Refdenotaderodap"/>
          <w:sz w:val="14"/>
          <w:szCs w:val="14"/>
        </w:rPr>
        <w:footnoteRef/>
      </w:r>
      <w:r w:rsidRPr="00622B0B">
        <w:rPr>
          <w:sz w:val="14"/>
          <w:szCs w:val="14"/>
        </w:rPr>
        <w:t xml:space="preserve"> </w:t>
      </w:r>
      <w:r w:rsidR="00935322" w:rsidRPr="007F3BB1">
        <w:rPr>
          <w:rFonts w:eastAsia="Times New Roman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="00935322" w:rsidRPr="007F3BB1">
        <w:rPr>
          <w:rFonts w:eastAsia="Times New Roman" w:cs="Arial"/>
          <w:i/>
          <w:iCs/>
          <w:sz w:val="14"/>
          <w:szCs w:val="14"/>
          <w:lang w:eastAsia="pt-BR"/>
        </w:rPr>
        <w:t>cumprimento preferencial por meio eletrônico"</w:t>
      </w:r>
      <w:r w:rsidR="00935322" w:rsidRPr="007F3BB1">
        <w:rPr>
          <w:rFonts w:eastAsia="Times New Roman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 w:rsidR="00935322">
        <w:rPr>
          <w:rFonts w:eastAsia="Times New Roman" w:cs="Arial"/>
          <w:sz w:val="14"/>
          <w:szCs w:val="14"/>
          <w:lang w:eastAsia="pt-BR"/>
        </w:rPr>
        <w:t xml:space="preserve">. </w:t>
      </w:r>
      <w:r w:rsidR="00935322" w:rsidRPr="004A0879">
        <w:rPr>
          <w:rFonts w:eastAsia="Times New Roman" w:cs="Arial"/>
          <w:sz w:val="14"/>
          <w:szCs w:val="14"/>
          <w:lang w:eastAsia="pt-BR"/>
        </w:rPr>
        <w:t>Conforme entendimento da CGJ/TJPR,</w:t>
      </w:r>
      <w:r w:rsidR="00935322">
        <w:rPr>
          <w:rFonts w:eastAsia="Times New Roman" w:cs="Arial"/>
          <w:sz w:val="14"/>
          <w:szCs w:val="14"/>
          <w:lang w:eastAsia="pt-BR"/>
        </w:rPr>
        <w:t xml:space="preserve"> </w:t>
      </w:r>
      <w:r w:rsidR="00935322" w:rsidRPr="004A0879">
        <w:rPr>
          <w:rFonts w:eastAsia="Times New Roman" w:cs="Arial"/>
          <w:sz w:val="14"/>
          <w:szCs w:val="14"/>
          <w:lang w:eastAsia="pt-BR"/>
        </w:rPr>
        <w:t>mesmo que o corpo do mandado contenha endereços eletrônicos que possibilitem o "</w:t>
      </w:r>
      <w:r w:rsidR="00935322" w:rsidRPr="004A0879">
        <w:rPr>
          <w:rFonts w:eastAsia="Times New Roman" w:cs="Arial"/>
          <w:i/>
          <w:iCs/>
          <w:sz w:val="14"/>
          <w:szCs w:val="14"/>
          <w:lang w:eastAsia="pt-BR"/>
        </w:rPr>
        <w:t>cumprimento preferencial por meio eletrônico</w:t>
      </w:r>
      <w:r w:rsidR="00935322" w:rsidRPr="004A0879">
        <w:rPr>
          <w:rFonts w:eastAsia="Times New Roman" w:cs="Arial"/>
          <w:sz w:val="14"/>
          <w:szCs w:val="14"/>
          <w:lang w:eastAsia="pt-BR"/>
        </w:rPr>
        <w:t>", deverá ser indicado um endereço físico para cumprimento</w:t>
      </w:r>
      <w:r w:rsidR="00935322">
        <w:rPr>
          <w:rFonts w:eastAsia="Times New Roman" w:cs="Arial"/>
          <w:sz w:val="14"/>
          <w:szCs w:val="14"/>
          <w:lang w:eastAsia="pt-BR"/>
        </w:rPr>
        <w:t>,</w:t>
      </w:r>
      <w:r w:rsidR="00935322" w:rsidRPr="004A0879">
        <w:rPr>
          <w:rFonts w:eastAsia="Times New Roman" w:cs="Arial"/>
          <w:sz w:val="14"/>
          <w:szCs w:val="14"/>
          <w:lang w:eastAsia="pt-BR"/>
        </w:rPr>
        <w:t xml:space="preserve"> conforme a competência territorial de cada Foro ou Comarca</w:t>
      </w:r>
      <w:r w:rsidR="00935322">
        <w:rPr>
          <w:rFonts w:eastAsia="Times New Roman" w:cs="Arial"/>
          <w:sz w:val="14"/>
          <w:szCs w:val="14"/>
          <w:lang w:eastAsia="pt-BR"/>
        </w:rPr>
        <w:t xml:space="preserve"> (Acesse </w:t>
      </w:r>
      <w:hyperlink r:id="rId1" w:history="1">
        <w:r w:rsidR="00935322" w:rsidRPr="000C6FDB">
          <w:rPr>
            <w:rStyle w:val="Hyperlink"/>
            <w:rFonts w:eastAsia="Times New Roman" w:cs="Arial"/>
            <w:sz w:val="14"/>
            <w:szCs w:val="14"/>
            <w:lang w:eastAsia="pt-BR"/>
          </w:rPr>
          <w:t>aqui</w:t>
        </w:r>
      </w:hyperlink>
      <w:r w:rsidR="00935322">
        <w:rPr>
          <w:rFonts w:eastAsia="Times New Roman" w:cs="Arial"/>
          <w:sz w:val="14"/>
          <w:szCs w:val="14"/>
          <w:lang w:eastAsia="pt-BR"/>
        </w:rPr>
        <w:t xml:space="preserve"> a decisão da CGJ/TJPR).</w:t>
      </w:r>
    </w:p>
  </w:footnote>
  <w:footnote w:id="2">
    <w:p w14:paraId="0C06806D" w14:textId="4688AA70" w:rsidR="00CE2091" w:rsidRPr="004A32D7" w:rsidRDefault="00CE2091" w:rsidP="00CE20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4A32D7">
        <w:rPr>
          <w:rStyle w:val="Refdenotaderodap"/>
          <w:sz w:val="14"/>
          <w:szCs w:val="14"/>
        </w:rPr>
        <w:footnoteRef/>
      </w:r>
      <w:r w:rsidRPr="004A32D7">
        <w:rPr>
          <w:sz w:val="14"/>
          <w:szCs w:val="14"/>
        </w:rPr>
        <w:t xml:space="preserve"> </w:t>
      </w:r>
      <w:r w:rsidR="00D26D11" w:rsidRPr="000B3274">
        <w:rPr>
          <w:rFonts w:eastAsia="Times New Roman" w:cs="Arial"/>
          <w:sz w:val="14"/>
          <w:szCs w:val="14"/>
          <w:lang w:eastAsia="pt-BR"/>
        </w:rPr>
        <w:t>Código de Processo Civil</w:t>
      </w:r>
      <w:r w:rsidRPr="004A32D7">
        <w:rPr>
          <w:rFonts w:eastAsia="Times New Roman" w:cs="Arial"/>
          <w:sz w:val="14"/>
          <w:szCs w:val="14"/>
          <w:lang w:eastAsia="pt-BR"/>
        </w:rPr>
        <w:t>: “Art. 694. Nas ações de família, todos os esforços serão empreendidos para a solução consensual da controvérsia, devendo o juiz dispor do auxílio de profissionais de outras áreas de conhecimento para a mediação e conciliação. Parágrafo único. A requerimento das partes, o juiz pode determinar a suspensão do processo enquanto os litigantes se submetem a mediação extrajudicial ou a atendimento multidisciplinar</w:t>
      </w:r>
      <w:r w:rsidRPr="00C91FA0">
        <w:rPr>
          <w:rFonts w:eastAsia="Times New Roman" w:cs="Arial"/>
          <w:sz w:val="14"/>
          <w:szCs w:val="14"/>
          <w:lang w:eastAsia="pt-BR"/>
        </w:rPr>
        <w:t>.</w:t>
      </w:r>
      <w:r w:rsidRPr="004A32D7">
        <w:rPr>
          <w:rFonts w:eastAsia="Times New Roman" w:cs="Arial"/>
          <w:sz w:val="14"/>
          <w:szCs w:val="14"/>
          <w:lang w:eastAsia="pt-BR"/>
        </w:rPr>
        <w:t>”</w:t>
      </w:r>
      <w:r w:rsidR="00D26D11">
        <w:rPr>
          <w:rFonts w:eastAsia="Times New Roman" w:cs="Arial"/>
          <w:sz w:val="14"/>
          <w:szCs w:val="14"/>
          <w:lang w:eastAsia="pt-BR"/>
        </w:rPr>
        <w:t>.</w:t>
      </w:r>
    </w:p>
  </w:footnote>
  <w:footnote w:id="3">
    <w:p w14:paraId="01A069BC" w14:textId="77777777" w:rsidR="00D26D11" w:rsidRDefault="00D26D11" w:rsidP="00D26D11">
      <w:pPr>
        <w:pStyle w:val="Textodenotaderodap"/>
        <w:jc w:val="both"/>
        <w:rPr>
          <w:rFonts w:cs="Arial"/>
          <w:sz w:val="14"/>
          <w:szCs w:val="14"/>
        </w:rPr>
      </w:pPr>
      <w:r>
        <w:rPr>
          <w:rStyle w:val="Refdenotaderodap"/>
          <w:rFonts w:cs="Arial"/>
          <w:sz w:val="14"/>
          <w:szCs w:val="14"/>
        </w:rPr>
        <w:footnoteRef/>
      </w:r>
      <w:r>
        <w:rPr>
          <w:rFonts w:cs="Arial"/>
          <w:sz w:val="14"/>
          <w:szCs w:val="14"/>
        </w:rPr>
        <w:t xml:space="preserve"> A audiência poderá ser realizada na modalidade presencial, semipresencial ou virtual (por videoconferência ou na forma telepresencial), em conformidade com o disposto no </w:t>
      </w:r>
      <w:bookmarkStart w:id="0" w:name="_Hlk136003813"/>
      <w:r>
        <w:rPr>
          <w:rFonts w:cs="Arial"/>
          <w:sz w:val="14"/>
          <w:szCs w:val="14"/>
        </w:rPr>
        <w:t>art. 262 do Código de Normas do Foro Judicial do TJPR (Provimento nº 316/2022).</w:t>
      </w:r>
      <w:bookmarkEnd w:id="0"/>
    </w:p>
  </w:footnote>
  <w:footnote w:id="4">
    <w:p w14:paraId="4064AC08" w14:textId="251B1206" w:rsidR="00D26D11" w:rsidRDefault="00D26D11" w:rsidP="00D26D11">
      <w:pPr>
        <w:pStyle w:val="Textodenotaderodap"/>
        <w:jc w:val="both"/>
        <w:rPr>
          <w:rFonts w:cs="Arial"/>
          <w:sz w:val="14"/>
          <w:szCs w:val="16"/>
        </w:rPr>
      </w:pPr>
      <w:r>
        <w:rPr>
          <w:rStyle w:val="Refdenotaderodap"/>
          <w:rFonts w:cs="Arial"/>
          <w:sz w:val="14"/>
          <w:szCs w:val="14"/>
        </w:rPr>
        <w:footnoteRef/>
      </w:r>
      <w:r>
        <w:rPr>
          <w:rFonts w:cs="Arial"/>
          <w:sz w:val="14"/>
          <w:szCs w:val="14"/>
        </w:rPr>
        <w:t xml:space="preserve"> </w:t>
      </w:r>
      <w:r>
        <w:rPr>
          <w:rFonts w:cs="Arial"/>
          <w:sz w:val="14"/>
          <w:szCs w:val="16"/>
        </w:rPr>
        <w:t xml:space="preserve">Nos termos </w:t>
      </w:r>
      <w:r w:rsidR="00AC7692">
        <w:rPr>
          <w:rFonts w:cs="Arial"/>
          <w:sz w:val="14"/>
          <w:szCs w:val="16"/>
        </w:rPr>
        <w:t xml:space="preserve">do </w:t>
      </w:r>
      <w:r>
        <w:rPr>
          <w:rFonts w:cs="Arial"/>
          <w:sz w:val="14"/>
          <w:szCs w:val="14"/>
        </w:rPr>
        <w:t>art. 261 do Código de Normas do Foro Judicial do TJPR (Provimento nº 316/2022)</w:t>
      </w:r>
      <w:r>
        <w:rPr>
          <w:rFonts w:cs="Arial"/>
          <w:sz w:val="14"/>
          <w:szCs w:val="16"/>
        </w:rPr>
        <w:t xml:space="preserve">, </w:t>
      </w:r>
      <w:r>
        <w:rPr>
          <w:rFonts w:cs="Arial"/>
          <w:sz w:val="14"/>
          <w:szCs w:val="16"/>
          <w:u w:val="single"/>
        </w:rPr>
        <w:t>audiência virtual</w:t>
      </w:r>
      <w:r>
        <w:rPr>
          <w:rFonts w:cs="Arial"/>
          <w:sz w:val="14"/>
          <w:szCs w:val="16"/>
        </w:rPr>
        <w:t xml:space="preserve"> é aquela na qual todos(as) participam por videoconferência ou na forma telepresencial; </w:t>
      </w:r>
      <w:r>
        <w:rPr>
          <w:rFonts w:cs="Arial"/>
          <w:sz w:val="14"/>
          <w:szCs w:val="16"/>
          <w:u w:val="single"/>
        </w:rPr>
        <w:t>videoconferência</w:t>
      </w:r>
      <w:r>
        <w:rPr>
          <w:rFonts w:cs="Arial"/>
          <w:sz w:val="14"/>
          <w:szCs w:val="16"/>
        </w:rPr>
        <w:t xml:space="preserve"> é a comunicação à distância realizada em ambientes de unidades judiciais ou estabelecimentos prisionais; </w:t>
      </w:r>
      <w:r>
        <w:rPr>
          <w:rFonts w:cs="Arial"/>
          <w:sz w:val="14"/>
          <w:szCs w:val="16"/>
          <w:u w:val="single"/>
        </w:rPr>
        <w:t>audiência telepresencial</w:t>
      </w:r>
      <w:r>
        <w:rPr>
          <w:rFonts w:cs="Arial"/>
          <w:sz w:val="14"/>
          <w:szCs w:val="16"/>
        </w:rPr>
        <w:t xml:space="preserve"> é o ato realizado a partir de ambiente físico externo às unidades judiciais; </w:t>
      </w:r>
      <w:r>
        <w:rPr>
          <w:rFonts w:cs="Arial"/>
          <w:sz w:val="14"/>
          <w:szCs w:val="16"/>
          <w:u w:val="single"/>
        </w:rPr>
        <w:t>audiência semipresencial</w:t>
      </w:r>
      <w:r>
        <w:rPr>
          <w:rFonts w:cs="Arial"/>
          <w:sz w:val="14"/>
          <w:szCs w:val="16"/>
        </w:rPr>
        <w:t xml:space="preserve"> é a que ocorre quando, ao menos, uma pessoa comparece fisicamente à unidade judicial para participar do ato processual e as demais participam por videoconferência ou na forma telepresencial.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C6FF0"/>
    <w:multiLevelType w:val="hybridMultilevel"/>
    <w:tmpl w:val="30D4C160"/>
    <w:lvl w:ilvl="0" w:tplc="A8F413C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801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CF8"/>
    <w:rsid w:val="00010250"/>
    <w:rsid w:val="00013ED9"/>
    <w:rsid w:val="00055D6B"/>
    <w:rsid w:val="00092D43"/>
    <w:rsid w:val="00227B40"/>
    <w:rsid w:val="0023796A"/>
    <w:rsid w:val="002E1554"/>
    <w:rsid w:val="002E4AB0"/>
    <w:rsid w:val="003155A7"/>
    <w:rsid w:val="00323C4A"/>
    <w:rsid w:val="003404E9"/>
    <w:rsid w:val="003429BB"/>
    <w:rsid w:val="00364CF2"/>
    <w:rsid w:val="003D4DEE"/>
    <w:rsid w:val="00413EF4"/>
    <w:rsid w:val="00464DAB"/>
    <w:rsid w:val="004A1D71"/>
    <w:rsid w:val="004A7692"/>
    <w:rsid w:val="004D2C4A"/>
    <w:rsid w:val="005B20A1"/>
    <w:rsid w:val="00622B0B"/>
    <w:rsid w:val="006421CC"/>
    <w:rsid w:val="006A26F0"/>
    <w:rsid w:val="006A750F"/>
    <w:rsid w:val="006C177D"/>
    <w:rsid w:val="00706775"/>
    <w:rsid w:val="00725C70"/>
    <w:rsid w:val="007B17FE"/>
    <w:rsid w:val="00830050"/>
    <w:rsid w:val="00841917"/>
    <w:rsid w:val="00865DBE"/>
    <w:rsid w:val="008771AB"/>
    <w:rsid w:val="008D410D"/>
    <w:rsid w:val="00917C4B"/>
    <w:rsid w:val="00935322"/>
    <w:rsid w:val="009419A8"/>
    <w:rsid w:val="00972975"/>
    <w:rsid w:val="00985AC7"/>
    <w:rsid w:val="00AC7692"/>
    <w:rsid w:val="00AF556B"/>
    <w:rsid w:val="00B944C8"/>
    <w:rsid w:val="00B96159"/>
    <w:rsid w:val="00BD0C85"/>
    <w:rsid w:val="00C101D4"/>
    <w:rsid w:val="00C46CE6"/>
    <w:rsid w:val="00C91FA0"/>
    <w:rsid w:val="00CB1028"/>
    <w:rsid w:val="00CE2091"/>
    <w:rsid w:val="00CE6B7E"/>
    <w:rsid w:val="00D12CF8"/>
    <w:rsid w:val="00D26D11"/>
    <w:rsid w:val="00D736C7"/>
    <w:rsid w:val="00DA19B1"/>
    <w:rsid w:val="00DE4464"/>
    <w:rsid w:val="00DF07E5"/>
    <w:rsid w:val="00E8577E"/>
    <w:rsid w:val="00E90A7F"/>
    <w:rsid w:val="00ED59B9"/>
    <w:rsid w:val="00EF0F9F"/>
    <w:rsid w:val="00FA380A"/>
    <w:rsid w:val="00FC104C"/>
    <w:rsid w:val="00FD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F0C9"/>
  <w15:chartTrackingRefBased/>
  <w15:docId w15:val="{2F34CFA4-55D5-4698-B1C0-AD382BF2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CF8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D1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D12CF8"/>
  </w:style>
  <w:style w:type="character" w:customStyle="1" w:styleId="eop">
    <w:name w:val="eop"/>
    <w:basedOn w:val="Fontepargpadro"/>
    <w:rsid w:val="00D12CF8"/>
  </w:style>
  <w:style w:type="character" w:styleId="Hyperlink">
    <w:name w:val="Hyperlink"/>
    <w:basedOn w:val="Fontepargpadro"/>
    <w:uiPriority w:val="99"/>
    <w:unhideWhenUsed/>
    <w:rsid w:val="003D4DE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D4DEE"/>
    <w:rPr>
      <w:b/>
      <w:bCs/>
    </w:rPr>
  </w:style>
  <w:style w:type="character" w:styleId="nfase">
    <w:name w:val="Emphasis"/>
    <w:basedOn w:val="Fontepargpadro"/>
    <w:uiPriority w:val="20"/>
    <w:qFormat/>
    <w:rsid w:val="003D4DEE"/>
    <w:rPr>
      <w:i/>
      <w:iCs/>
    </w:rPr>
  </w:style>
  <w:style w:type="character" w:styleId="Refdenotaderodap">
    <w:name w:val="footnote reference"/>
    <w:basedOn w:val="Fontepargpadro"/>
    <w:uiPriority w:val="99"/>
    <w:semiHidden/>
    <w:unhideWhenUsed/>
    <w:rsid w:val="00D736C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73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736C7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055D6B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64D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4D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4DAB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4DA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4DAB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4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DA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CE6B7E"/>
    <w:pPr>
      <w:spacing w:after="0" w:line="240" w:lineRule="auto"/>
    </w:pPr>
    <w:rPr>
      <w:rFonts w:ascii="Arial" w:hAnsi="Ari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26D1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26D11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jpr.jus.br/endereco-de-orgaos-do-judiciario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B6C93F34198F4F971F6C202F3F22EF" ma:contentTypeVersion="11" ma:contentTypeDescription="Crie um novo documento." ma:contentTypeScope="" ma:versionID="40a6715b01b68d35ed8ae742cb04e7ca">
  <xsd:schema xmlns:xsd="http://www.w3.org/2001/XMLSchema" xmlns:xs="http://www.w3.org/2001/XMLSchema" xmlns:p="http://schemas.microsoft.com/office/2006/metadata/properties" xmlns:ns2="8cee5456-31ae-4776-ab0a-cb92274a1516" xmlns:ns3="1da25024-c2c0-4b47-8ded-424dc3ca25c9" targetNamespace="http://schemas.microsoft.com/office/2006/metadata/properties" ma:root="true" ma:fieldsID="e10ef919f77ae14aea57240b3c56379a" ns2:_="" ns3:_="">
    <xsd:import namespace="8cee5456-31ae-4776-ab0a-cb92274a1516"/>
    <xsd:import namespace="1da25024-c2c0-4b47-8ded-424dc3ca2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e5456-31ae-4776-ab0a-cb92274a1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25024-c2c0-4b47-8ded-424dc3ca25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E29EF-5E10-42F4-8A94-9D3B92308A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304E2C-31AA-44D8-9D28-8C103BC559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D1C25-53B3-4492-A042-960E25065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e5456-31ae-4776-ab0a-cb92274a1516"/>
    <ds:schemaRef ds:uri="1da25024-c2c0-4b47-8ded-424dc3ca2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720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Scholles</cp:lastModifiedBy>
  <cp:revision>18</cp:revision>
  <dcterms:created xsi:type="dcterms:W3CDTF">2022-05-11T22:04:00Z</dcterms:created>
  <dcterms:modified xsi:type="dcterms:W3CDTF">2023-08-04T21:00:00Z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0x01010008B6C93F34198F4F971F6C202F3F22EF</vt:lpwstr>
  </property>
</Properties>
</file>