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E7164" w14:textId="77777777" w:rsidR="00744E35" w:rsidRPr="009741D5" w:rsidRDefault="00744E35" w:rsidP="00744E35">
      <w:pPr>
        <w:spacing w:after="0" w:line="240" w:lineRule="auto"/>
        <w:rPr>
          <w:rFonts w:ascii="Arial" w:eastAsia="Times New Roman" w:hAnsi="Arial" w:cs="Arial"/>
          <w:sz w:val="18"/>
          <w:szCs w:val="18"/>
          <w:lang w:eastAsia="pt-BR"/>
        </w:rPr>
      </w:pPr>
      <w:bookmarkStart w:id="0" w:name="_Hlk97302442"/>
      <w:r w:rsidRPr="009741D5">
        <w:rPr>
          <w:rFonts w:ascii="Arial" w:eastAsia="Times New Roman" w:hAnsi="Arial" w:cs="Arial"/>
          <w:sz w:val="18"/>
          <w:szCs w:val="18"/>
          <w:lang w:eastAsia="pt-BR"/>
        </w:rPr>
        <w:t>$</w:t>
      </w:r>
      <w:proofErr w:type="spellStart"/>
      <w:r w:rsidRPr="009741D5">
        <w:rPr>
          <w:rFonts w:ascii="Arial" w:eastAsia="Times New Roman" w:hAnsi="Arial" w:cs="Arial"/>
          <w:sz w:val="18"/>
          <w:szCs w:val="18"/>
          <w:lang w:eastAsia="pt-BR"/>
        </w:rPr>
        <w:t>formatacaoModeloPadrao</w:t>
      </w:r>
      <w:proofErr w:type="spellEnd"/>
      <w:r w:rsidRPr="009741D5">
        <w:rPr>
          <w:rFonts w:ascii="Arial" w:eastAsia="Times New Roman" w:hAnsi="Arial" w:cs="Arial"/>
          <w:sz w:val="18"/>
          <w:szCs w:val="18"/>
          <w:lang w:eastAsia="pt-BR"/>
        </w:rPr>
        <w:t xml:space="preserve"> </w:t>
      </w:r>
    </w:p>
    <w:p w14:paraId="55E0E710" w14:textId="77777777" w:rsidR="00744E35" w:rsidRPr="009741D5" w:rsidRDefault="00744E35" w:rsidP="00744E35">
      <w:pPr>
        <w:spacing w:after="0" w:line="240" w:lineRule="auto"/>
        <w:rPr>
          <w:rFonts w:ascii="Arial" w:eastAsia="Times New Roman" w:hAnsi="Arial" w:cs="Arial"/>
          <w:sz w:val="18"/>
          <w:szCs w:val="18"/>
          <w:lang w:eastAsia="pt-BR"/>
        </w:rPr>
      </w:pPr>
      <w:r w:rsidRPr="009741D5">
        <w:rPr>
          <w:rFonts w:ascii="Arial" w:eastAsia="Times New Roman" w:hAnsi="Arial" w:cs="Arial"/>
          <w:sz w:val="18"/>
          <w:szCs w:val="18"/>
          <w:lang w:eastAsia="pt-BR"/>
        </w:rPr>
        <w:t>$</w:t>
      </w:r>
      <w:proofErr w:type="spellStart"/>
      <w:r w:rsidRPr="009741D5">
        <w:rPr>
          <w:rFonts w:ascii="Arial" w:eastAsia="Times New Roman" w:hAnsi="Arial" w:cs="Arial"/>
          <w:sz w:val="18"/>
          <w:szCs w:val="18"/>
          <w:lang w:eastAsia="pt-BR"/>
        </w:rPr>
        <w:t>cabecalho</w:t>
      </w:r>
      <w:proofErr w:type="spellEnd"/>
    </w:p>
    <w:p w14:paraId="300D3392" w14:textId="77777777" w:rsidR="00744E35" w:rsidRPr="009741D5" w:rsidRDefault="00744E35" w:rsidP="00744E35">
      <w:pPr>
        <w:spacing w:after="0" w:line="240" w:lineRule="auto"/>
        <w:rPr>
          <w:rFonts w:ascii="Arial" w:eastAsia="Times New Roman" w:hAnsi="Arial" w:cs="Arial"/>
          <w:sz w:val="18"/>
          <w:szCs w:val="18"/>
          <w:lang w:eastAsia="pt-BR"/>
        </w:rPr>
      </w:pPr>
      <w:r w:rsidRPr="009741D5">
        <w:rPr>
          <w:rFonts w:ascii="Arial" w:eastAsia="Times New Roman" w:hAnsi="Arial" w:cs="Arial"/>
          <w:sz w:val="18"/>
          <w:szCs w:val="18"/>
          <w:lang w:eastAsia="pt-BR"/>
        </w:rPr>
        <w:t>$</w:t>
      </w:r>
      <w:proofErr w:type="spellStart"/>
      <w:r w:rsidRPr="009741D5">
        <w:rPr>
          <w:rFonts w:ascii="Arial" w:eastAsia="Times New Roman" w:hAnsi="Arial" w:cs="Arial"/>
          <w:sz w:val="18"/>
          <w:szCs w:val="18"/>
          <w:lang w:eastAsia="pt-BR"/>
        </w:rPr>
        <w:t>dadosProcessoSemValorSemData</w:t>
      </w:r>
      <w:proofErr w:type="spellEnd"/>
    </w:p>
    <w:p w14:paraId="4B881FF5" w14:textId="77777777" w:rsidR="004A53A8" w:rsidRDefault="00744E35" w:rsidP="00744E35">
      <w:pPr>
        <w:spacing w:after="0" w:line="240" w:lineRule="auto"/>
        <w:jc w:val="center"/>
        <w:rPr>
          <w:rFonts w:ascii="Arial" w:eastAsia="Times New Roman" w:hAnsi="Arial" w:cs="Arial"/>
          <w:b/>
          <w:bCs/>
          <w:sz w:val="18"/>
          <w:szCs w:val="18"/>
          <w:lang w:eastAsia="pt-BR"/>
        </w:rPr>
      </w:pPr>
      <w:r w:rsidRPr="004B6523">
        <w:rPr>
          <w:rFonts w:ascii="Arial" w:eastAsia="Times New Roman" w:hAnsi="Arial" w:cs="Arial"/>
          <w:b/>
          <w:bCs/>
          <w:u w:val="single"/>
          <w:lang w:eastAsia="pt-BR"/>
        </w:rPr>
        <w:t>$</w:t>
      </w:r>
      <w:proofErr w:type="spellStart"/>
      <w:r w:rsidRPr="004B6523">
        <w:rPr>
          <w:rFonts w:ascii="Arial" w:eastAsia="Times New Roman" w:hAnsi="Arial" w:cs="Arial"/>
          <w:b/>
          <w:bCs/>
          <w:u w:val="single"/>
          <w:lang w:eastAsia="pt-BR"/>
        </w:rPr>
        <w:t>cumprimentoCartorio.getTipoCumprimentoCartorio</w:t>
      </w:r>
      <w:proofErr w:type="spellEnd"/>
      <w:r w:rsidRPr="004B6523">
        <w:rPr>
          <w:rFonts w:ascii="Arial" w:eastAsia="Times New Roman" w:hAnsi="Arial" w:cs="Arial"/>
          <w:b/>
          <w:bCs/>
          <w:u w:val="single"/>
          <w:lang w:eastAsia="pt-BR"/>
        </w:rPr>
        <w:t>().</w:t>
      </w:r>
      <w:proofErr w:type="spellStart"/>
      <w:r w:rsidRPr="004B6523">
        <w:rPr>
          <w:rFonts w:ascii="Arial" w:eastAsia="Times New Roman" w:hAnsi="Arial" w:cs="Arial"/>
          <w:b/>
          <w:bCs/>
          <w:u w:val="single"/>
          <w:lang w:eastAsia="pt-BR"/>
        </w:rPr>
        <w:t>getDescricao</w:t>
      </w:r>
      <w:proofErr w:type="spellEnd"/>
      <w:r w:rsidRPr="004B6523">
        <w:rPr>
          <w:rFonts w:ascii="Arial" w:eastAsia="Times New Roman" w:hAnsi="Arial" w:cs="Arial"/>
          <w:b/>
          <w:bCs/>
          <w:u w:val="single"/>
          <w:lang w:eastAsia="pt-BR"/>
        </w:rPr>
        <w:t>()</w:t>
      </w:r>
      <w:r w:rsidRPr="004B6523">
        <w:rPr>
          <w:rFonts w:ascii="Arial" w:eastAsia="Times New Roman" w:hAnsi="Arial" w:cs="Arial"/>
          <w:lang w:eastAsia="pt-BR"/>
        </w:rPr>
        <w:br/>
      </w:r>
      <w:r w:rsidRPr="00D2660D">
        <w:rPr>
          <w:rFonts w:ascii="Arial" w:eastAsia="Times New Roman" w:hAnsi="Arial" w:cs="Arial"/>
          <w:b/>
          <w:bCs/>
          <w:sz w:val="18"/>
          <w:szCs w:val="18"/>
          <w:lang w:eastAsia="pt-BR"/>
        </w:rPr>
        <w:t>$</w:t>
      </w:r>
      <w:proofErr w:type="spellStart"/>
      <w:r w:rsidRPr="00D2660D">
        <w:rPr>
          <w:rFonts w:ascii="Arial" w:eastAsia="Times New Roman" w:hAnsi="Arial" w:cs="Arial"/>
          <w:b/>
          <w:bCs/>
          <w:sz w:val="18"/>
          <w:szCs w:val="18"/>
          <w:lang w:eastAsia="pt-BR"/>
        </w:rPr>
        <w:t>cumprimentoNumero</w:t>
      </w:r>
      <w:proofErr w:type="spellEnd"/>
      <w:r w:rsidRPr="00D2660D">
        <w:rPr>
          <w:rFonts w:ascii="Arial" w:eastAsia="Times New Roman" w:hAnsi="Arial" w:cs="Arial"/>
          <w:b/>
          <w:bCs/>
          <w:sz w:val="18"/>
          <w:szCs w:val="18"/>
          <w:lang w:eastAsia="pt-BR"/>
        </w:rPr>
        <w:t xml:space="preserve"> </w:t>
      </w:r>
    </w:p>
    <w:p w14:paraId="346F7BAD" w14:textId="403ECB9A" w:rsidR="00744E35" w:rsidRPr="00D2660D" w:rsidRDefault="00744E35" w:rsidP="00744E35">
      <w:pPr>
        <w:spacing w:after="0" w:line="240" w:lineRule="auto"/>
        <w:jc w:val="center"/>
        <w:rPr>
          <w:rFonts w:ascii="Times New Roman" w:eastAsia="Times New Roman" w:hAnsi="Times New Roman" w:cs="Times New Roman"/>
          <w:sz w:val="24"/>
          <w:szCs w:val="24"/>
          <w:lang w:eastAsia="pt-BR"/>
        </w:rPr>
      </w:pPr>
      <w:r w:rsidRPr="00D2660D">
        <w:rPr>
          <w:rFonts w:ascii="Arial" w:eastAsia="Times New Roman" w:hAnsi="Arial" w:cs="Arial"/>
          <w:b/>
          <w:bCs/>
          <w:sz w:val="18"/>
          <w:szCs w:val="18"/>
          <w:lang w:eastAsia="pt-BR"/>
        </w:rPr>
        <w:t>#</w:t>
      </w:r>
      <w:proofErr w:type="spellStart"/>
      <w:proofErr w:type="gramStart"/>
      <w:r w:rsidRPr="00D2660D">
        <w:rPr>
          <w:rFonts w:ascii="Arial" w:eastAsia="Times New Roman" w:hAnsi="Arial" w:cs="Arial"/>
          <w:b/>
          <w:bCs/>
          <w:sz w:val="18"/>
          <w:szCs w:val="18"/>
          <w:lang w:eastAsia="pt-BR"/>
        </w:rPr>
        <w:t>if</w:t>
      </w:r>
      <w:proofErr w:type="spellEnd"/>
      <w:r w:rsidRPr="00D2660D">
        <w:rPr>
          <w:rFonts w:ascii="Arial" w:eastAsia="Times New Roman" w:hAnsi="Arial" w:cs="Arial"/>
          <w:b/>
          <w:bCs/>
          <w:sz w:val="18"/>
          <w:szCs w:val="18"/>
          <w:lang w:eastAsia="pt-BR"/>
        </w:rPr>
        <w:t>( $</w:t>
      </w:r>
      <w:proofErr w:type="spellStart"/>
      <w:r w:rsidRPr="00D2660D">
        <w:rPr>
          <w:rFonts w:ascii="Arial" w:eastAsia="Times New Roman" w:hAnsi="Arial" w:cs="Arial"/>
          <w:b/>
          <w:bCs/>
          <w:sz w:val="18"/>
          <w:szCs w:val="18"/>
          <w:lang w:eastAsia="pt-BR"/>
        </w:rPr>
        <w:t>cumprimentoCartorio.getDescrevePrazo</w:t>
      </w:r>
      <w:proofErr w:type="spellEnd"/>
      <w:proofErr w:type="gramEnd"/>
      <w:r w:rsidRPr="00D2660D">
        <w:rPr>
          <w:rFonts w:ascii="Arial" w:eastAsia="Times New Roman" w:hAnsi="Arial" w:cs="Arial"/>
          <w:b/>
          <w:bCs/>
          <w:sz w:val="18"/>
          <w:szCs w:val="18"/>
          <w:lang w:eastAsia="pt-BR"/>
        </w:rPr>
        <w:t>() != "" ) Prazo: $</w:t>
      </w:r>
      <w:proofErr w:type="spellStart"/>
      <w:r w:rsidRPr="00D2660D">
        <w:rPr>
          <w:rFonts w:ascii="Arial" w:eastAsia="Times New Roman" w:hAnsi="Arial" w:cs="Arial"/>
          <w:b/>
          <w:bCs/>
          <w:sz w:val="18"/>
          <w:szCs w:val="18"/>
          <w:lang w:eastAsia="pt-BR"/>
        </w:rPr>
        <w:t>cumprimentoCartorio.getDescrevePrazo</w:t>
      </w:r>
      <w:proofErr w:type="spellEnd"/>
      <w:r w:rsidRPr="00D2660D">
        <w:rPr>
          <w:rFonts w:ascii="Arial" w:eastAsia="Times New Roman" w:hAnsi="Arial" w:cs="Arial"/>
          <w:b/>
          <w:bCs/>
          <w:sz w:val="18"/>
          <w:szCs w:val="18"/>
          <w:lang w:eastAsia="pt-BR"/>
        </w:rPr>
        <w:t>()#</w:t>
      </w:r>
      <w:proofErr w:type="spellStart"/>
      <w:r w:rsidRPr="00D2660D">
        <w:rPr>
          <w:rFonts w:ascii="Arial" w:eastAsia="Times New Roman" w:hAnsi="Arial" w:cs="Arial"/>
          <w:b/>
          <w:bCs/>
          <w:sz w:val="18"/>
          <w:szCs w:val="18"/>
          <w:lang w:eastAsia="pt-BR"/>
        </w:rPr>
        <w:t>end</w:t>
      </w:r>
      <w:proofErr w:type="spellEnd"/>
    </w:p>
    <w:p w14:paraId="33E8770A" w14:textId="77777777" w:rsidR="00744E35" w:rsidRDefault="00744E35" w:rsidP="00744E35">
      <w:pPr>
        <w:spacing w:after="0" w:line="240" w:lineRule="auto"/>
        <w:rPr>
          <w:rFonts w:ascii="Arial" w:eastAsia="Times New Roman" w:hAnsi="Arial" w:cs="Arial"/>
          <w:sz w:val="18"/>
          <w:szCs w:val="18"/>
          <w:lang w:eastAsia="pt-BR"/>
        </w:rPr>
      </w:pPr>
    </w:p>
    <w:p w14:paraId="2F87A846" w14:textId="49C070FA" w:rsidR="00744E35" w:rsidRDefault="00744E35" w:rsidP="00744E35">
      <w:pPr>
        <w:spacing w:after="0" w:line="240" w:lineRule="auto"/>
        <w:jc w:val="both"/>
        <w:rPr>
          <w:rFonts w:ascii="Arial" w:eastAsia="Times New Roman" w:hAnsi="Arial" w:cs="Arial"/>
          <w:sz w:val="18"/>
          <w:szCs w:val="18"/>
          <w:lang w:eastAsia="pt-BR"/>
        </w:rPr>
      </w:pPr>
      <w:proofErr w:type="gramStart"/>
      <w:r>
        <w:rPr>
          <w:rFonts w:ascii="Arial" w:eastAsia="Times New Roman" w:hAnsi="Arial" w:cs="Arial"/>
          <w:sz w:val="18"/>
          <w:szCs w:val="18"/>
          <w:lang w:eastAsia="pt-BR"/>
        </w:rPr>
        <w:t>O(</w:t>
      </w:r>
      <w:proofErr w:type="gramEnd"/>
      <w:r>
        <w:rPr>
          <w:rFonts w:ascii="Arial" w:eastAsia="Times New Roman" w:hAnsi="Arial" w:cs="Arial"/>
          <w:sz w:val="18"/>
          <w:szCs w:val="18"/>
          <w:lang w:eastAsia="pt-BR"/>
        </w:rPr>
        <w:t>A) Juiz(</w:t>
      </w:r>
      <w:proofErr w:type="spellStart"/>
      <w:r>
        <w:rPr>
          <w:rFonts w:ascii="Arial" w:eastAsia="Times New Roman" w:hAnsi="Arial" w:cs="Arial"/>
          <w:sz w:val="18"/>
          <w:szCs w:val="18"/>
          <w:lang w:eastAsia="pt-BR"/>
        </w:rPr>
        <w:t>íza</w:t>
      </w:r>
      <w:proofErr w:type="spellEnd"/>
      <w:r>
        <w:rPr>
          <w:rFonts w:ascii="Arial" w:eastAsia="Times New Roman" w:hAnsi="Arial" w:cs="Arial"/>
          <w:sz w:val="18"/>
          <w:szCs w:val="18"/>
          <w:lang w:eastAsia="pt-BR"/>
        </w:rPr>
        <w:t>) de Direito $!</w:t>
      </w:r>
      <w:proofErr w:type="spellStart"/>
      <w:r>
        <w:rPr>
          <w:rFonts w:ascii="Arial" w:eastAsia="Times New Roman" w:hAnsi="Arial" w:cs="Arial"/>
          <w:sz w:val="18"/>
          <w:szCs w:val="18"/>
          <w:lang w:eastAsia="pt-BR"/>
        </w:rPr>
        <w:t>autos.getJuizResponsavel</w:t>
      </w:r>
      <w:proofErr w:type="spellEnd"/>
      <w:r>
        <w:rPr>
          <w:rFonts w:ascii="Arial" w:eastAsia="Times New Roman" w:hAnsi="Arial" w:cs="Arial"/>
          <w:sz w:val="18"/>
          <w:szCs w:val="18"/>
          <w:lang w:eastAsia="pt-BR"/>
        </w:rPr>
        <w:t>().</w:t>
      </w:r>
      <w:proofErr w:type="spellStart"/>
      <w:r>
        <w:rPr>
          <w:rFonts w:ascii="Arial" w:eastAsia="Times New Roman" w:hAnsi="Arial" w:cs="Arial"/>
          <w:sz w:val="18"/>
          <w:szCs w:val="18"/>
          <w:lang w:eastAsia="pt-BR"/>
        </w:rPr>
        <w:t>getNome</w:t>
      </w:r>
      <w:proofErr w:type="spellEnd"/>
      <w:r>
        <w:rPr>
          <w:rFonts w:ascii="Arial" w:eastAsia="Times New Roman" w:hAnsi="Arial" w:cs="Arial"/>
          <w:sz w:val="18"/>
          <w:szCs w:val="18"/>
          <w:lang w:eastAsia="pt-BR"/>
        </w:rPr>
        <w:t>(), da $</w:t>
      </w:r>
      <w:proofErr w:type="spellStart"/>
      <w:r>
        <w:rPr>
          <w:rFonts w:ascii="Arial" w:eastAsia="Times New Roman" w:hAnsi="Arial" w:cs="Arial"/>
          <w:sz w:val="18"/>
          <w:szCs w:val="18"/>
          <w:lang w:eastAsia="pt-BR"/>
        </w:rPr>
        <w:t>vara.getDescricao</w:t>
      </w:r>
      <w:proofErr w:type="spellEnd"/>
      <w:r>
        <w:rPr>
          <w:rFonts w:ascii="Arial" w:eastAsia="Times New Roman" w:hAnsi="Arial" w:cs="Arial"/>
          <w:sz w:val="18"/>
          <w:szCs w:val="18"/>
          <w:lang w:eastAsia="pt-BR"/>
        </w:rPr>
        <w:t>(),</w:t>
      </w:r>
    </w:p>
    <w:p w14:paraId="76BB0920" w14:textId="77777777" w:rsidR="00CC601B" w:rsidRDefault="00CC601B" w:rsidP="00744E35">
      <w:pPr>
        <w:spacing w:after="0" w:line="240" w:lineRule="auto"/>
        <w:jc w:val="both"/>
        <w:rPr>
          <w:rFonts w:ascii="Times New Roman" w:eastAsia="Times New Roman" w:hAnsi="Times New Roman" w:cs="Times New Roman"/>
          <w:sz w:val="24"/>
          <w:szCs w:val="24"/>
          <w:lang w:eastAsia="pt-BR"/>
        </w:rPr>
      </w:pPr>
      <w:bookmarkStart w:id="1" w:name="_GoBack"/>
      <w:bookmarkEnd w:id="1"/>
    </w:p>
    <w:p w14:paraId="67B31314" w14:textId="7AFC1E5D" w:rsidR="004747FE" w:rsidRDefault="00744E35" w:rsidP="00744E35">
      <w:pPr>
        <w:spacing w:after="0" w:line="240" w:lineRule="auto"/>
        <w:jc w:val="both"/>
        <w:rPr>
          <w:rFonts w:ascii="Arial" w:eastAsia="Times New Roman" w:hAnsi="Arial" w:cs="Arial"/>
          <w:sz w:val="18"/>
          <w:szCs w:val="18"/>
          <w:lang w:eastAsia="pt-BR"/>
        </w:rPr>
      </w:pPr>
      <w:r w:rsidRPr="009D6329">
        <w:rPr>
          <w:rFonts w:ascii="Arial" w:eastAsia="Times New Roman" w:hAnsi="Arial" w:cs="Arial"/>
          <w:b/>
          <w:bCs/>
          <w:sz w:val="18"/>
          <w:szCs w:val="18"/>
          <w:lang w:eastAsia="pt-BR"/>
        </w:rPr>
        <w:t xml:space="preserve">MANDA </w:t>
      </w:r>
      <w:proofErr w:type="gramStart"/>
      <w:r w:rsidRPr="009D6329">
        <w:rPr>
          <w:rFonts w:ascii="Arial" w:eastAsia="Times New Roman" w:hAnsi="Arial" w:cs="Arial"/>
          <w:sz w:val="18"/>
          <w:szCs w:val="18"/>
          <w:lang w:eastAsia="pt-BR"/>
        </w:rPr>
        <w:t>ao(</w:t>
      </w:r>
      <w:proofErr w:type="gramEnd"/>
      <w:r w:rsidRPr="009D6329">
        <w:rPr>
          <w:rFonts w:ascii="Arial" w:eastAsia="Times New Roman" w:hAnsi="Arial" w:cs="Arial"/>
          <w:sz w:val="18"/>
          <w:szCs w:val="18"/>
          <w:lang w:eastAsia="pt-BR"/>
        </w:rPr>
        <w:t xml:space="preserve">à) </w:t>
      </w:r>
      <w:proofErr w:type="spellStart"/>
      <w:r w:rsidRPr="009D6329">
        <w:rPr>
          <w:rFonts w:ascii="Arial" w:eastAsia="Times New Roman" w:hAnsi="Arial" w:cs="Arial"/>
          <w:sz w:val="18"/>
          <w:szCs w:val="18"/>
          <w:lang w:eastAsia="pt-BR"/>
        </w:rPr>
        <w:t>Sr</w:t>
      </w:r>
      <w:proofErr w:type="spellEnd"/>
      <w:r w:rsidRPr="009D6329">
        <w:rPr>
          <w:rFonts w:ascii="Arial" w:eastAsia="Times New Roman" w:hAnsi="Arial" w:cs="Arial"/>
          <w:sz w:val="18"/>
          <w:szCs w:val="18"/>
          <w:lang w:eastAsia="pt-BR"/>
        </w:rPr>
        <w:t xml:space="preserve">(a). Oficial do </w:t>
      </w:r>
      <w:r w:rsidRPr="00DA09F8">
        <w:rPr>
          <w:rFonts w:ascii="Arial" w:eastAsia="Times New Roman" w:hAnsi="Arial" w:cs="Arial"/>
          <w:b/>
          <w:bCs/>
          <w:sz w:val="18"/>
          <w:szCs w:val="18"/>
          <w:lang w:eastAsia="pt-BR"/>
        </w:rPr>
        <w:t>Registro de Imóveis da</w:t>
      </w:r>
      <w:r w:rsidRPr="009D6329">
        <w:rPr>
          <w:rFonts w:ascii="Arial" w:eastAsia="Times New Roman" w:hAnsi="Arial" w:cs="Arial"/>
          <w:color w:val="3300FF"/>
          <w:sz w:val="18"/>
          <w:szCs w:val="18"/>
          <w:lang w:eastAsia="pt-BR"/>
        </w:rPr>
        <w:t xml:space="preserve"> </w:t>
      </w:r>
      <w:r w:rsidR="004747FE" w:rsidRPr="00612B1A">
        <w:rPr>
          <w:rFonts w:ascii="Arial" w:eastAsia="Times New Roman" w:hAnsi="Arial" w:cs="Arial"/>
          <w:b/>
          <w:sz w:val="18"/>
          <w:szCs w:val="18"/>
          <w:lang w:eastAsia="pt-BR"/>
        </w:rPr>
        <w:t>situação do imóvel</w:t>
      </w:r>
      <w:r w:rsidR="004747FE" w:rsidRPr="009D6329">
        <w:rPr>
          <w:rFonts w:ascii="Arial" w:eastAsia="Times New Roman" w:hAnsi="Arial" w:cs="Arial"/>
          <w:sz w:val="18"/>
          <w:szCs w:val="18"/>
          <w:lang w:eastAsia="pt-BR"/>
        </w:rPr>
        <w:t xml:space="preserve"> </w:t>
      </w:r>
      <w:r w:rsidRPr="009D6329">
        <w:rPr>
          <w:rFonts w:ascii="Arial" w:eastAsia="Times New Roman" w:hAnsi="Arial" w:cs="Arial"/>
          <w:sz w:val="18"/>
          <w:szCs w:val="18"/>
          <w:lang w:eastAsia="pt-BR"/>
        </w:rPr>
        <w:t xml:space="preserve">que proceda </w:t>
      </w:r>
      <w:r w:rsidR="00E209C5">
        <w:rPr>
          <w:rFonts w:ascii="Arial" w:eastAsia="Times New Roman" w:hAnsi="Arial" w:cs="Arial"/>
          <w:sz w:val="18"/>
          <w:szCs w:val="18"/>
          <w:lang w:eastAsia="pt-BR"/>
        </w:rPr>
        <w:t>à</w:t>
      </w:r>
      <w:r w:rsidR="00A75D72" w:rsidRPr="00A75D72">
        <w:rPr>
          <w:rFonts w:ascii="Arial" w:eastAsia="Times New Roman" w:hAnsi="Arial" w:cs="Arial"/>
          <w:sz w:val="18"/>
          <w:szCs w:val="18"/>
          <w:lang w:eastAsia="pt-BR"/>
        </w:rPr>
        <w:t xml:space="preserve"> </w:t>
      </w:r>
      <w:bookmarkEnd w:id="0"/>
      <w:r w:rsidR="00A75D72" w:rsidRPr="00A75D72">
        <w:rPr>
          <w:rFonts w:ascii="Arial" w:eastAsia="Times New Roman" w:hAnsi="Arial" w:cs="Arial"/>
          <w:b/>
          <w:bCs/>
          <w:sz w:val="18"/>
          <w:szCs w:val="18"/>
          <w:lang w:eastAsia="pt-BR"/>
        </w:rPr>
        <w:t>AVERBAÇÃO</w:t>
      </w:r>
      <w:r w:rsidR="00A75D72" w:rsidRPr="00A75D72">
        <w:rPr>
          <w:rFonts w:ascii="Arial" w:eastAsia="Times New Roman" w:hAnsi="Arial" w:cs="Arial"/>
          <w:sz w:val="18"/>
          <w:szCs w:val="18"/>
          <w:lang w:eastAsia="pt-BR"/>
        </w:rPr>
        <w:t xml:space="preserve"> </w:t>
      </w:r>
      <w:r w:rsidR="009106A6">
        <w:rPr>
          <w:rFonts w:ascii="Arial" w:eastAsia="Times New Roman" w:hAnsi="Arial" w:cs="Arial"/>
          <w:b/>
          <w:bCs/>
          <w:sz w:val="18"/>
          <w:szCs w:val="18"/>
          <w:lang w:eastAsia="pt-BR"/>
        </w:rPr>
        <w:t>DO CANCELAMENTO</w:t>
      </w:r>
      <w:r w:rsidR="009106A6">
        <w:rPr>
          <w:rStyle w:val="Refdenotaderodap"/>
          <w:rFonts w:ascii="Arial" w:eastAsia="Times New Roman" w:hAnsi="Arial" w:cs="Arial"/>
          <w:b/>
          <w:bCs/>
          <w:sz w:val="18"/>
          <w:szCs w:val="18"/>
          <w:lang w:eastAsia="pt-BR"/>
        </w:rPr>
        <w:footnoteReference w:id="1"/>
      </w:r>
      <w:r w:rsidR="009106A6">
        <w:rPr>
          <w:rFonts w:ascii="Arial" w:eastAsia="Times New Roman" w:hAnsi="Arial" w:cs="Arial"/>
          <w:b/>
          <w:bCs/>
          <w:sz w:val="18"/>
          <w:szCs w:val="18"/>
          <w:lang w:eastAsia="pt-BR"/>
        </w:rPr>
        <w:t xml:space="preserve"> DA PENHORA/ARRESTO</w:t>
      </w:r>
      <w:r w:rsidR="0007219F" w:rsidRPr="0007219F">
        <w:rPr>
          <w:rFonts w:ascii="Arial" w:eastAsia="Times New Roman" w:hAnsi="Arial" w:cs="Arial"/>
          <w:sz w:val="18"/>
          <w:szCs w:val="18"/>
          <w:lang w:eastAsia="pt-BR"/>
        </w:rPr>
        <w:t xml:space="preserve"> </w:t>
      </w:r>
      <w:r w:rsidR="0007219F">
        <w:rPr>
          <w:rFonts w:ascii="Arial" w:eastAsia="Times New Roman" w:hAnsi="Arial" w:cs="Arial"/>
          <w:sz w:val="18"/>
          <w:szCs w:val="18"/>
          <w:lang w:eastAsia="pt-BR"/>
        </w:rPr>
        <w:t xml:space="preserve">registrada </w:t>
      </w:r>
      <w:r w:rsidR="0007219F" w:rsidRPr="00A75D72">
        <w:rPr>
          <w:rFonts w:ascii="Arial" w:eastAsia="Times New Roman" w:hAnsi="Arial" w:cs="Arial"/>
          <w:sz w:val="18"/>
          <w:szCs w:val="18"/>
          <w:lang w:eastAsia="pt-BR"/>
        </w:rPr>
        <w:t xml:space="preserve">na matrícula </w:t>
      </w:r>
      <w:r w:rsidR="0007219F">
        <w:rPr>
          <w:rFonts w:ascii="Arial" w:eastAsia="Times New Roman" w:hAnsi="Arial" w:cs="Arial"/>
          <w:sz w:val="18"/>
          <w:szCs w:val="18"/>
          <w:lang w:eastAsia="pt-BR"/>
        </w:rPr>
        <w:t xml:space="preserve">do imóvel de nº </w:t>
      </w:r>
      <w:r w:rsidR="0007219F" w:rsidRPr="00A75D72">
        <w:rPr>
          <w:rFonts w:ascii="Arial" w:eastAsia="Times New Roman" w:hAnsi="Arial" w:cs="Arial"/>
          <w:color w:val="3300FF"/>
          <w:sz w:val="18"/>
          <w:szCs w:val="18"/>
          <w:lang w:eastAsia="pt-BR"/>
        </w:rPr>
        <w:t>X</w:t>
      </w:r>
      <w:r w:rsidR="00750B78">
        <w:rPr>
          <w:rFonts w:ascii="Arial" w:eastAsia="Times New Roman" w:hAnsi="Arial" w:cs="Arial"/>
          <w:color w:val="3300FF"/>
          <w:sz w:val="18"/>
          <w:szCs w:val="18"/>
          <w:lang w:eastAsia="pt-BR"/>
        </w:rPr>
        <w:t>X</w:t>
      </w:r>
      <w:r w:rsidR="0007219F" w:rsidRPr="00A75D72">
        <w:rPr>
          <w:rFonts w:ascii="Arial" w:eastAsia="Times New Roman" w:hAnsi="Arial" w:cs="Arial"/>
          <w:color w:val="3300FF"/>
          <w:sz w:val="18"/>
          <w:szCs w:val="18"/>
          <w:lang w:eastAsia="pt-BR"/>
        </w:rPr>
        <w:t>XX</w:t>
      </w:r>
      <w:r w:rsidR="004747FE" w:rsidRPr="004747FE">
        <w:rPr>
          <w:rFonts w:ascii="Arial" w:eastAsia="Times New Roman" w:hAnsi="Arial" w:cs="Arial"/>
          <w:color w:val="3300FF"/>
          <w:sz w:val="18"/>
          <w:szCs w:val="18"/>
          <w:lang w:eastAsia="pt-BR"/>
        </w:rPr>
        <w:t xml:space="preserve"> </w:t>
      </w:r>
      <w:r w:rsidR="0020256C" w:rsidRPr="0020256C">
        <w:rPr>
          <w:rFonts w:ascii="Arial" w:eastAsia="Times New Roman" w:hAnsi="Arial" w:cs="Arial"/>
          <w:color w:val="3300FF"/>
          <w:sz w:val="18"/>
          <w:szCs w:val="18"/>
          <w:lang w:eastAsia="pt-BR"/>
        </w:rPr>
        <w:t xml:space="preserve">(R-XX) </w:t>
      </w:r>
      <w:r w:rsidR="004747FE" w:rsidRPr="00EA4F18">
        <w:rPr>
          <w:rFonts w:ascii="Arial" w:eastAsia="Times New Roman" w:hAnsi="Arial" w:cs="Arial"/>
          <w:sz w:val="18"/>
          <w:szCs w:val="18"/>
          <w:lang w:eastAsia="pt-BR"/>
        </w:rPr>
        <w:t>do Serviço de Registro de Imóveis</w:t>
      </w:r>
      <w:r w:rsidR="004747FE">
        <w:rPr>
          <w:rFonts w:ascii="Arial" w:eastAsia="Times New Roman" w:hAnsi="Arial" w:cs="Arial"/>
          <w:sz w:val="18"/>
          <w:szCs w:val="18"/>
          <w:lang w:eastAsia="pt-BR"/>
        </w:rPr>
        <w:t xml:space="preserve"> da</w:t>
      </w:r>
      <w:r w:rsidR="004747FE" w:rsidRPr="009D6329">
        <w:rPr>
          <w:rFonts w:ascii="Arial" w:eastAsia="Times New Roman" w:hAnsi="Arial" w:cs="Arial"/>
          <w:color w:val="3300FF"/>
          <w:sz w:val="18"/>
          <w:szCs w:val="18"/>
          <w:lang w:eastAsia="pt-BR"/>
        </w:rPr>
        <w:t xml:space="preserve"> XX</w:t>
      </w:r>
      <w:r w:rsidR="004747FE" w:rsidRPr="009D6329">
        <w:rPr>
          <w:rFonts w:ascii="Arial" w:eastAsia="Times New Roman" w:hAnsi="Arial" w:cs="Arial"/>
          <w:sz w:val="18"/>
          <w:szCs w:val="18"/>
          <w:lang w:eastAsia="pt-BR"/>
        </w:rPr>
        <w:t xml:space="preserve">ª Circunscrição </w:t>
      </w:r>
      <w:r w:rsidR="004747FE">
        <w:rPr>
          <w:rFonts w:ascii="Arial" w:eastAsia="Times New Roman" w:hAnsi="Arial" w:cs="Arial"/>
          <w:sz w:val="18"/>
          <w:szCs w:val="18"/>
          <w:lang w:eastAsia="pt-BR"/>
        </w:rPr>
        <w:t>da Comarca de</w:t>
      </w:r>
      <w:r w:rsidR="004747FE" w:rsidRPr="009D6329">
        <w:rPr>
          <w:rFonts w:ascii="Arial" w:eastAsia="Times New Roman" w:hAnsi="Arial" w:cs="Arial"/>
          <w:sz w:val="18"/>
          <w:szCs w:val="18"/>
          <w:lang w:eastAsia="pt-BR"/>
        </w:rPr>
        <w:t xml:space="preserve"> </w:t>
      </w:r>
      <w:r w:rsidR="004747FE" w:rsidRPr="009D6329">
        <w:rPr>
          <w:rFonts w:ascii="Arial" w:eastAsia="Times New Roman" w:hAnsi="Arial" w:cs="Arial"/>
          <w:color w:val="3300FF"/>
          <w:sz w:val="18"/>
          <w:szCs w:val="18"/>
          <w:lang w:eastAsia="pt-BR"/>
        </w:rPr>
        <w:t>X</w:t>
      </w:r>
      <w:r w:rsidR="00750B78">
        <w:rPr>
          <w:rFonts w:ascii="Arial" w:eastAsia="Times New Roman" w:hAnsi="Arial" w:cs="Arial"/>
          <w:color w:val="3300FF"/>
          <w:sz w:val="18"/>
          <w:szCs w:val="18"/>
          <w:lang w:eastAsia="pt-BR"/>
        </w:rPr>
        <w:t>XX</w:t>
      </w:r>
      <w:r w:rsidR="004747FE" w:rsidRPr="009D6329">
        <w:rPr>
          <w:rFonts w:ascii="Arial" w:eastAsia="Times New Roman" w:hAnsi="Arial" w:cs="Arial"/>
          <w:color w:val="3300FF"/>
          <w:sz w:val="18"/>
          <w:szCs w:val="18"/>
          <w:lang w:eastAsia="pt-BR"/>
        </w:rPr>
        <w:t>X</w:t>
      </w:r>
      <w:r w:rsidR="004747FE">
        <w:rPr>
          <w:rStyle w:val="Refdenotaderodap"/>
          <w:rFonts w:ascii="Arial" w:eastAsia="Times New Roman" w:hAnsi="Arial" w:cs="Arial"/>
          <w:color w:val="3300FF"/>
          <w:sz w:val="18"/>
          <w:szCs w:val="18"/>
          <w:lang w:eastAsia="pt-BR"/>
        </w:rPr>
        <w:footnoteReference w:id="2"/>
      </w:r>
      <w:r w:rsidR="0007219F">
        <w:rPr>
          <w:rFonts w:ascii="Arial" w:eastAsia="Times New Roman" w:hAnsi="Arial" w:cs="Arial"/>
          <w:color w:val="3300FF"/>
          <w:sz w:val="18"/>
          <w:szCs w:val="18"/>
          <w:lang w:eastAsia="pt-BR"/>
        </w:rPr>
        <w:t>.</w:t>
      </w:r>
    </w:p>
    <w:p w14:paraId="647AF4AD" w14:textId="77777777" w:rsidR="002C079E" w:rsidRDefault="002C079E" w:rsidP="00744E35">
      <w:pPr>
        <w:spacing w:after="0" w:line="240" w:lineRule="auto"/>
        <w:jc w:val="both"/>
        <w:rPr>
          <w:rFonts w:ascii="Arial" w:eastAsia="Times New Roman" w:hAnsi="Arial" w:cs="Arial"/>
          <w:sz w:val="18"/>
          <w:szCs w:val="18"/>
          <w:lang w:eastAsia="pt-BR"/>
        </w:rPr>
      </w:pPr>
    </w:p>
    <w:p w14:paraId="312E606E" w14:textId="257A6B81" w:rsidR="00A75D72" w:rsidRDefault="0007219F" w:rsidP="00744E35">
      <w:pPr>
        <w:spacing w:after="0" w:line="240" w:lineRule="auto"/>
        <w:jc w:val="both"/>
        <w:rPr>
          <w:rFonts w:ascii="Arial" w:eastAsia="Times New Roman" w:hAnsi="Arial" w:cs="Arial"/>
          <w:sz w:val="18"/>
          <w:szCs w:val="18"/>
          <w:lang w:eastAsia="pt-BR"/>
        </w:rPr>
      </w:pPr>
      <w:r w:rsidRPr="0007219F">
        <w:rPr>
          <w:rFonts w:ascii="Arial" w:eastAsia="Times New Roman" w:hAnsi="Arial" w:cs="Arial"/>
          <w:sz w:val="18"/>
          <w:szCs w:val="18"/>
          <w:lang w:eastAsia="pt-BR"/>
        </w:rPr>
        <w:t xml:space="preserve">A </w:t>
      </w:r>
      <w:r>
        <w:rPr>
          <w:rFonts w:ascii="Arial" w:eastAsia="Times New Roman" w:hAnsi="Arial" w:cs="Arial"/>
          <w:sz w:val="18"/>
          <w:szCs w:val="18"/>
          <w:lang w:eastAsia="pt-BR"/>
        </w:rPr>
        <w:t>decisão</w:t>
      </w:r>
      <w:r w:rsidRPr="0007219F">
        <w:rPr>
          <w:rFonts w:ascii="Arial" w:eastAsia="Times New Roman" w:hAnsi="Arial" w:cs="Arial"/>
          <w:sz w:val="18"/>
          <w:szCs w:val="18"/>
          <w:lang w:eastAsia="pt-BR"/>
        </w:rPr>
        <w:t xml:space="preserve"> </w:t>
      </w:r>
      <w:r w:rsidRPr="00A75D72">
        <w:rPr>
          <w:rFonts w:ascii="Arial" w:eastAsia="Times New Roman" w:hAnsi="Arial" w:cs="Arial"/>
          <w:sz w:val="18"/>
          <w:szCs w:val="18"/>
          <w:lang w:eastAsia="pt-BR"/>
        </w:rPr>
        <w:t xml:space="preserve">proferida em </w:t>
      </w:r>
      <w:r w:rsidRPr="00A75D72">
        <w:rPr>
          <w:rFonts w:ascii="Arial" w:eastAsia="Times New Roman" w:hAnsi="Arial" w:cs="Arial"/>
          <w:color w:val="3300FF"/>
          <w:sz w:val="18"/>
          <w:szCs w:val="18"/>
          <w:lang w:eastAsia="pt-BR"/>
        </w:rPr>
        <w:t>XX/XX/</w:t>
      </w:r>
      <w:r>
        <w:rPr>
          <w:rFonts w:ascii="Arial" w:eastAsia="Times New Roman" w:hAnsi="Arial" w:cs="Arial"/>
          <w:color w:val="3300FF"/>
          <w:sz w:val="18"/>
          <w:szCs w:val="18"/>
          <w:lang w:eastAsia="pt-BR"/>
        </w:rPr>
        <w:t>202</w:t>
      </w:r>
      <w:r w:rsidRPr="00A75D72">
        <w:rPr>
          <w:rFonts w:ascii="Arial" w:eastAsia="Times New Roman" w:hAnsi="Arial" w:cs="Arial"/>
          <w:color w:val="3300FF"/>
          <w:sz w:val="18"/>
          <w:szCs w:val="18"/>
          <w:lang w:eastAsia="pt-BR"/>
        </w:rPr>
        <w:t>X</w:t>
      </w:r>
      <w:r w:rsidRPr="0007219F">
        <w:rPr>
          <w:rFonts w:ascii="Arial" w:eastAsia="Times New Roman" w:hAnsi="Arial" w:cs="Arial"/>
          <w:sz w:val="18"/>
          <w:szCs w:val="18"/>
          <w:lang w:eastAsia="pt-BR"/>
        </w:rPr>
        <w:t xml:space="preserve">, </w:t>
      </w:r>
      <w:r w:rsidR="00E209C5">
        <w:rPr>
          <w:rFonts w:ascii="Arial" w:eastAsia="Times New Roman" w:hAnsi="Arial" w:cs="Arial"/>
          <w:sz w:val="18"/>
          <w:szCs w:val="18"/>
          <w:lang w:eastAsia="pt-BR"/>
        </w:rPr>
        <w:t xml:space="preserve">no mov. </w:t>
      </w:r>
      <w:r w:rsidR="00E209C5" w:rsidRPr="00A75D72">
        <w:rPr>
          <w:rFonts w:ascii="Arial" w:eastAsia="Times New Roman" w:hAnsi="Arial" w:cs="Arial"/>
          <w:color w:val="3300FF"/>
          <w:sz w:val="18"/>
          <w:szCs w:val="18"/>
          <w:lang w:eastAsia="pt-BR"/>
        </w:rPr>
        <w:t>XX</w:t>
      </w:r>
      <w:r>
        <w:rPr>
          <w:rFonts w:ascii="Arial" w:eastAsia="Times New Roman" w:hAnsi="Arial" w:cs="Arial"/>
          <w:sz w:val="18"/>
          <w:szCs w:val="18"/>
          <w:lang w:eastAsia="pt-BR"/>
        </w:rPr>
        <w:t>,</w:t>
      </w:r>
      <w:r w:rsidRPr="0007219F">
        <w:rPr>
          <w:rFonts w:ascii="Arial" w:eastAsia="Times New Roman" w:hAnsi="Arial" w:cs="Arial"/>
          <w:sz w:val="18"/>
          <w:szCs w:val="18"/>
          <w:lang w:eastAsia="pt-BR"/>
        </w:rPr>
        <w:t xml:space="preserve"> servirá de título para matrícula no </w:t>
      </w:r>
      <w:r w:rsidR="00EE4EE8">
        <w:rPr>
          <w:rFonts w:ascii="Arial" w:eastAsia="Times New Roman" w:hAnsi="Arial" w:cs="Arial"/>
          <w:sz w:val="18"/>
          <w:szCs w:val="18"/>
          <w:lang w:eastAsia="pt-BR"/>
        </w:rPr>
        <w:t>Serviço</w:t>
      </w:r>
      <w:r w:rsidRPr="0007219F">
        <w:rPr>
          <w:rFonts w:ascii="Arial" w:eastAsia="Times New Roman" w:hAnsi="Arial" w:cs="Arial"/>
          <w:sz w:val="18"/>
          <w:szCs w:val="18"/>
          <w:lang w:eastAsia="pt-BR"/>
        </w:rPr>
        <w:t xml:space="preserve"> de Registro de Imóveis, por força legal.</w:t>
      </w:r>
    </w:p>
    <w:p w14:paraId="28E75ECE" w14:textId="30B09BBD" w:rsidR="00744E35" w:rsidRDefault="00744E35" w:rsidP="00744E35">
      <w:pPr>
        <w:spacing w:after="0" w:line="240" w:lineRule="auto"/>
        <w:jc w:val="both"/>
        <w:rPr>
          <w:rFonts w:ascii="Arial" w:eastAsia="Times New Roman" w:hAnsi="Arial" w:cs="Arial"/>
          <w:sz w:val="18"/>
          <w:szCs w:val="18"/>
          <w:lang w:eastAsia="pt-BR"/>
        </w:rPr>
      </w:pPr>
    </w:p>
    <w:p w14:paraId="56FF77FE" w14:textId="77777777" w:rsidR="008255A1" w:rsidRDefault="008255A1" w:rsidP="008255A1">
      <w:pPr>
        <w:spacing w:after="0"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O</w:t>
      </w:r>
      <w:r w:rsidRPr="009062C1">
        <w:rPr>
          <w:rFonts w:ascii="Arial" w:eastAsia="Times New Roman" w:hAnsi="Arial" w:cs="Arial"/>
          <w:sz w:val="18"/>
          <w:szCs w:val="18"/>
          <w:lang w:eastAsia="pt-BR"/>
        </w:rPr>
        <w:t xml:space="preserve"> recolhimento dos emolumentos referentes à prática da diligência deverá seguir o instituído </w:t>
      </w:r>
      <w:r>
        <w:rPr>
          <w:rFonts w:ascii="Arial" w:eastAsia="Times New Roman" w:hAnsi="Arial" w:cs="Arial"/>
          <w:sz w:val="18"/>
          <w:szCs w:val="18"/>
          <w:lang w:eastAsia="pt-BR"/>
        </w:rPr>
        <w:t>n</w:t>
      </w:r>
      <w:r w:rsidRPr="009062C1">
        <w:rPr>
          <w:rFonts w:ascii="Arial" w:eastAsia="Times New Roman" w:hAnsi="Arial" w:cs="Arial"/>
          <w:sz w:val="18"/>
          <w:szCs w:val="18"/>
          <w:lang w:eastAsia="pt-BR"/>
        </w:rPr>
        <w:t xml:space="preserve">os </w:t>
      </w:r>
      <w:proofErr w:type="spellStart"/>
      <w:r w:rsidRPr="009062C1">
        <w:rPr>
          <w:rFonts w:ascii="Arial" w:eastAsia="Times New Roman" w:hAnsi="Arial" w:cs="Arial"/>
          <w:sz w:val="18"/>
          <w:szCs w:val="18"/>
          <w:lang w:eastAsia="pt-BR"/>
        </w:rPr>
        <w:t>arts</w:t>
      </w:r>
      <w:proofErr w:type="spellEnd"/>
      <w:r w:rsidRPr="009062C1">
        <w:rPr>
          <w:rFonts w:ascii="Arial" w:eastAsia="Times New Roman" w:hAnsi="Arial" w:cs="Arial"/>
          <w:sz w:val="18"/>
          <w:szCs w:val="18"/>
          <w:lang w:eastAsia="pt-BR"/>
        </w:rPr>
        <w:t>. 4</w:t>
      </w:r>
      <w:r>
        <w:rPr>
          <w:rFonts w:ascii="Arial" w:eastAsia="Times New Roman" w:hAnsi="Arial" w:cs="Arial"/>
          <w:sz w:val="18"/>
          <w:szCs w:val="18"/>
          <w:lang w:eastAsia="pt-BR"/>
        </w:rPr>
        <w:t>º e 5º da</w:t>
      </w:r>
      <w:r w:rsidRPr="009062C1">
        <w:rPr>
          <w:rFonts w:ascii="Arial" w:eastAsia="Times New Roman" w:hAnsi="Arial" w:cs="Arial"/>
          <w:sz w:val="18"/>
          <w:szCs w:val="18"/>
          <w:lang w:eastAsia="pt-BR"/>
        </w:rPr>
        <w:t xml:space="preserve"> </w:t>
      </w:r>
      <w:r w:rsidRPr="00F44BA6">
        <w:rPr>
          <w:rFonts w:ascii="Arial" w:eastAsia="Times New Roman" w:hAnsi="Arial" w:cs="Arial"/>
          <w:sz w:val="18"/>
          <w:szCs w:val="18"/>
          <w:lang w:eastAsia="pt-BR"/>
        </w:rPr>
        <w:t xml:space="preserve">Instrução Normativa Conjunta nº 136/2023-GCJ/GC. </w:t>
      </w:r>
    </w:p>
    <w:p w14:paraId="21AB2856" w14:textId="3E468237" w:rsidR="008255A1" w:rsidRPr="009062C1" w:rsidRDefault="008255A1" w:rsidP="008255A1">
      <w:pPr>
        <w:spacing w:after="0" w:line="240" w:lineRule="auto"/>
        <w:jc w:val="both"/>
        <w:rPr>
          <w:rFonts w:ascii="Arial" w:eastAsia="Times New Roman" w:hAnsi="Arial" w:cs="Arial"/>
          <w:i/>
          <w:sz w:val="18"/>
          <w:szCs w:val="18"/>
          <w:lang w:eastAsia="pt-BR"/>
        </w:rPr>
      </w:pPr>
      <w:r w:rsidRPr="009062C1">
        <w:rPr>
          <w:rFonts w:ascii="Arial" w:eastAsia="Times New Roman" w:hAnsi="Arial" w:cs="Arial"/>
          <w:sz w:val="18"/>
          <w:szCs w:val="18"/>
          <w:lang w:eastAsia="pt-BR"/>
        </w:rPr>
        <w:t xml:space="preserve">Emolumentos </w:t>
      </w:r>
      <w:r>
        <w:rPr>
          <w:rFonts w:ascii="Arial" w:eastAsia="Times New Roman" w:hAnsi="Arial" w:cs="Arial"/>
          <w:sz w:val="18"/>
          <w:szCs w:val="18"/>
          <w:lang w:eastAsia="pt-BR"/>
        </w:rPr>
        <w:t>Dispensados</w:t>
      </w:r>
      <w:r w:rsidR="001973FB">
        <w:rPr>
          <w:rFonts w:ascii="Arial" w:eastAsia="Times New Roman" w:hAnsi="Arial" w:cs="Arial"/>
          <w:sz w:val="18"/>
          <w:szCs w:val="18"/>
          <w:lang w:eastAsia="pt-BR"/>
        </w:rPr>
        <w:t>/</w:t>
      </w:r>
      <w:r w:rsidR="001973FB" w:rsidRPr="009062C1">
        <w:rPr>
          <w:rFonts w:ascii="Arial" w:eastAsia="Times New Roman" w:hAnsi="Arial" w:cs="Arial"/>
          <w:sz w:val="18"/>
          <w:szCs w:val="18"/>
          <w:lang w:eastAsia="pt-BR"/>
        </w:rPr>
        <w:t>Diferidos</w:t>
      </w:r>
      <w:r w:rsidRPr="009062C1">
        <w:rPr>
          <w:rFonts w:ascii="Arial" w:eastAsia="Times New Roman" w:hAnsi="Arial" w:cs="Arial"/>
          <w:sz w:val="18"/>
          <w:szCs w:val="18"/>
          <w:lang w:eastAsia="pt-BR"/>
        </w:rPr>
        <w:t>:</w:t>
      </w:r>
      <w:r w:rsidRPr="009062C1">
        <w:rPr>
          <w:rFonts w:ascii="Arial" w:eastAsia="Times New Roman" w:hAnsi="Arial" w:cs="Arial"/>
          <w:i/>
          <w:sz w:val="18"/>
          <w:szCs w:val="18"/>
          <w:lang w:eastAsia="pt-BR"/>
        </w:rPr>
        <w:t xml:space="preserve"> </w:t>
      </w:r>
      <w:proofErr w:type="gramStart"/>
      <w:r w:rsidRPr="009062C1">
        <w:rPr>
          <w:rFonts w:ascii="Arial" w:eastAsia="Times New Roman" w:hAnsi="Arial" w:cs="Arial"/>
          <w:sz w:val="18"/>
          <w:szCs w:val="18"/>
          <w:lang w:eastAsia="pt-BR"/>
        </w:rPr>
        <w:t>$!</w:t>
      </w:r>
      <w:proofErr w:type="spellStart"/>
      <w:r w:rsidRPr="009062C1">
        <w:rPr>
          <w:rFonts w:ascii="Arial" w:eastAsia="Times New Roman" w:hAnsi="Arial" w:cs="Arial"/>
          <w:sz w:val="18"/>
          <w:szCs w:val="18"/>
          <w:lang w:eastAsia="pt-BR"/>
        </w:rPr>
        <w:t>parteSelecionadaJusticaGratuita</w:t>
      </w:r>
      <w:proofErr w:type="spellEnd"/>
      <w:proofErr w:type="gramEnd"/>
      <w:r w:rsidRPr="009062C1">
        <w:rPr>
          <w:rFonts w:ascii="Arial" w:eastAsia="Times New Roman" w:hAnsi="Arial" w:cs="Arial"/>
          <w:sz w:val="18"/>
          <w:szCs w:val="18"/>
          <w:lang w:eastAsia="pt-BR"/>
        </w:rPr>
        <w:t xml:space="preserve"> / $!</w:t>
      </w:r>
      <w:proofErr w:type="spellStart"/>
      <w:r w:rsidRPr="009062C1">
        <w:rPr>
          <w:rFonts w:ascii="Arial" w:eastAsia="Times New Roman" w:hAnsi="Arial" w:cs="Arial"/>
          <w:sz w:val="18"/>
          <w:szCs w:val="18"/>
          <w:lang w:eastAsia="pt-BR"/>
        </w:rPr>
        <w:t>parteSelecionadaCustasPostergadas</w:t>
      </w:r>
      <w:proofErr w:type="spellEnd"/>
    </w:p>
    <w:p w14:paraId="60DDAF73" w14:textId="77777777" w:rsidR="002C079E" w:rsidRDefault="002C079E" w:rsidP="008255A1">
      <w:pPr>
        <w:spacing w:after="0" w:line="240" w:lineRule="auto"/>
        <w:jc w:val="both"/>
        <w:rPr>
          <w:rFonts w:ascii="Arial" w:eastAsia="Times New Roman" w:hAnsi="Arial" w:cs="Arial"/>
          <w:i/>
          <w:color w:val="FF0000"/>
          <w:sz w:val="18"/>
          <w:szCs w:val="18"/>
          <w:lang w:eastAsia="pt-BR"/>
        </w:rPr>
      </w:pPr>
    </w:p>
    <w:p w14:paraId="3E3735A5" w14:textId="10C1E31D" w:rsidR="008255A1" w:rsidRDefault="008255A1" w:rsidP="008255A1">
      <w:pPr>
        <w:spacing w:after="0" w:line="240" w:lineRule="auto"/>
        <w:jc w:val="both"/>
        <w:rPr>
          <w:rFonts w:ascii="Arial" w:eastAsia="Times New Roman" w:hAnsi="Arial" w:cs="Arial"/>
          <w:i/>
          <w:color w:val="FF0000"/>
          <w:sz w:val="18"/>
          <w:szCs w:val="18"/>
          <w:lang w:eastAsia="pt-BR"/>
        </w:rPr>
      </w:pPr>
      <w:r w:rsidRPr="003E7912">
        <w:rPr>
          <w:rFonts w:ascii="Arial" w:eastAsia="Times New Roman" w:hAnsi="Arial" w:cs="Arial"/>
          <w:i/>
          <w:color w:val="FF0000"/>
          <w:sz w:val="18"/>
          <w:szCs w:val="18"/>
          <w:lang w:eastAsia="pt-BR"/>
        </w:rPr>
        <w:t>***se for o caso de custas dispensadas ou diferidas inserir o seguinte trecho</w:t>
      </w:r>
      <w:r>
        <w:rPr>
          <w:rFonts w:ascii="Arial" w:eastAsia="Times New Roman" w:hAnsi="Arial" w:cs="Arial"/>
          <w:i/>
          <w:color w:val="FF0000"/>
          <w:sz w:val="18"/>
          <w:szCs w:val="18"/>
          <w:lang w:eastAsia="pt-BR"/>
        </w:rPr>
        <w:t xml:space="preserve"> e selecionar o motivo</w:t>
      </w:r>
      <w:r w:rsidR="002C079E">
        <w:rPr>
          <w:rFonts w:ascii="Arial" w:eastAsia="Times New Roman" w:hAnsi="Arial" w:cs="Arial"/>
          <w:i/>
          <w:color w:val="FF0000"/>
          <w:sz w:val="18"/>
          <w:szCs w:val="18"/>
          <w:lang w:eastAsia="pt-BR"/>
        </w:rPr>
        <w:t>:</w:t>
      </w:r>
      <w:r w:rsidRPr="003E7912">
        <w:rPr>
          <w:rFonts w:ascii="Arial" w:eastAsia="Times New Roman" w:hAnsi="Arial" w:cs="Arial"/>
          <w:i/>
          <w:color w:val="FF0000"/>
          <w:sz w:val="18"/>
          <w:szCs w:val="18"/>
          <w:lang w:eastAsia="pt-BR"/>
        </w:rPr>
        <w:t>***</w:t>
      </w:r>
    </w:p>
    <w:p w14:paraId="6711E2F1" w14:textId="77777777" w:rsidR="008255A1" w:rsidRDefault="008255A1" w:rsidP="008255A1">
      <w:pPr>
        <w:spacing w:after="0" w:line="240" w:lineRule="auto"/>
        <w:jc w:val="both"/>
        <w:rPr>
          <w:rFonts w:ascii="Arial" w:eastAsia="Times New Roman" w:hAnsi="Arial" w:cs="Arial"/>
          <w:color w:val="3300FF"/>
          <w:sz w:val="18"/>
          <w:szCs w:val="18"/>
          <w:lang w:eastAsia="pt-BR"/>
        </w:rPr>
      </w:pPr>
      <w:r>
        <w:rPr>
          <w:rFonts w:ascii="Arial" w:eastAsia="Times New Roman" w:hAnsi="Arial" w:cs="Arial"/>
          <w:color w:val="3300FF"/>
          <w:sz w:val="18"/>
          <w:szCs w:val="18"/>
          <w:lang w:eastAsia="pt-BR"/>
        </w:rPr>
        <w:t xml:space="preserve">No presente caso não haverá </w:t>
      </w:r>
      <w:r w:rsidRPr="00A405E2">
        <w:rPr>
          <w:rFonts w:ascii="Arial" w:eastAsia="Times New Roman" w:hAnsi="Arial" w:cs="Arial"/>
          <w:color w:val="3300FF"/>
          <w:sz w:val="18"/>
          <w:szCs w:val="18"/>
          <w:lang w:eastAsia="pt-BR"/>
        </w:rPr>
        <w:t>antecipação dos emolumentos</w:t>
      </w:r>
      <w:r w:rsidRPr="00D70113">
        <w:rPr>
          <w:rStyle w:val="Refdenotaderodap"/>
          <w:rFonts w:ascii="Arial" w:eastAsia="Times New Roman" w:hAnsi="Arial" w:cs="Arial"/>
          <w:color w:val="3300FF"/>
          <w:sz w:val="18"/>
          <w:szCs w:val="18"/>
          <w:lang w:eastAsia="pt-BR"/>
        </w:rPr>
        <w:footnoteReference w:id="3"/>
      </w:r>
      <w:r w:rsidRPr="00A405E2">
        <w:rPr>
          <w:rFonts w:ascii="Arial" w:eastAsia="Times New Roman" w:hAnsi="Arial" w:cs="Arial"/>
          <w:color w:val="3300FF"/>
          <w:sz w:val="18"/>
          <w:szCs w:val="18"/>
          <w:lang w:eastAsia="pt-BR"/>
        </w:rPr>
        <w:t xml:space="preserve"> por</w:t>
      </w:r>
      <w:r w:rsidRPr="4FB613B9">
        <w:rPr>
          <w:rFonts w:ascii="Arial" w:eastAsia="Times New Roman" w:hAnsi="Arial" w:cs="Arial"/>
          <w:color w:val="3300FF"/>
          <w:sz w:val="18"/>
          <w:szCs w:val="18"/>
          <w:lang w:eastAsia="pt-BR"/>
        </w:rPr>
        <w:t xml:space="preserve"> se trata</w:t>
      </w:r>
      <w:r>
        <w:rPr>
          <w:rFonts w:ascii="Arial" w:eastAsia="Times New Roman" w:hAnsi="Arial" w:cs="Arial"/>
          <w:color w:val="3300FF"/>
          <w:sz w:val="18"/>
          <w:szCs w:val="18"/>
          <w:lang w:eastAsia="pt-BR"/>
        </w:rPr>
        <w:t>r</w:t>
      </w:r>
      <w:r w:rsidRPr="4FB613B9">
        <w:rPr>
          <w:rFonts w:ascii="Arial" w:eastAsia="Times New Roman" w:hAnsi="Arial" w:cs="Arial"/>
          <w:color w:val="3300FF"/>
          <w:sz w:val="18"/>
          <w:szCs w:val="18"/>
          <w:lang w:eastAsia="pt-BR"/>
        </w:rPr>
        <w:t xml:space="preserve"> de ato </w:t>
      </w:r>
      <w:r>
        <w:rPr>
          <w:rFonts w:ascii="Arial" w:eastAsia="Times New Roman" w:hAnsi="Arial" w:cs="Arial"/>
          <w:color w:val="3300FF"/>
          <w:sz w:val="18"/>
          <w:szCs w:val="18"/>
          <w:lang w:eastAsia="pt-BR"/>
        </w:rPr>
        <w:t xml:space="preserve">requerido </w:t>
      </w:r>
      <w:r w:rsidRPr="4FB613B9">
        <w:rPr>
          <w:rFonts w:ascii="Arial" w:eastAsia="Times New Roman" w:hAnsi="Arial" w:cs="Arial"/>
          <w:color w:val="3300FF"/>
          <w:sz w:val="18"/>
          <w:szCs w:val="18"/>
          <w:lang w:eastAsia="pt-BR"/>
        </w:rPr>
        <w:t xml:space="preserve"> </w:t>
      </w:r>
    </w:p>
    <w:p w14:paraId="343C15E3" w14:textId="77777777" w:rsidR="008255A1" w:rsidRDefault="008255A1" w:rsidP="008255A1">
      <w:pPr>
        <w:spacing w:after="0" w:line="240" w:lineRule="auto"/>
        <w:jc w:val="both"/>
        <w:rPr>
          <w:rFonts w:ascii="Arial" w:eastAsia="Times New Roman" w:hAnsi="Arial" w:cs="Arial"/>
          <w:color w:val="3300FF"/>
          <w:sz w:val="18"/>
          <w:szCs w:val="18"/>
          <w:lang w:eastAsia="pt-BR"/>
        </w:rPr>
      </w:pPr>
      <w:r w:rsidRPr="00A405E2">
        <w:rPr>
          <w:rFonts w:ascii="Arial" w:eastAsia="Times New Roman" w:hAnsi="Arial" w:cs="Arial"/>
          <w:i/>
          <w:color w:val="3300FF"/>
          <w:sz w:val="18"/>
          <w:szCs w:val="18"/>
          <w:lang w:eastAsia="pt-BR"/>
        </w:rPr>
        <w:t>***(i)</w:t>
      </w:r>
      <w:r>
        <w:rPr>
          <w:rFonts w:ascii="Arial" w:eastAsia="Times New Roman" w:hAnsi="Arial" w:cs="Arial"/>
          <w:color w:val="3300FF"/>
          <w:sz w:val="18"/>
          <w:szCs w:val="18"/>
          <w:lang w:eastAsia="pt-BR"/>
        </w:rPr>
        <w:t xml:space="preserve"> por </w:t>
      </w:r>
      <w:r w:rsidRPr="4FB613B9">
        <w:rPr>
          <w:rFonts w:ascii="Arial" w:eastAsia="Times New Roman" w:hAnsi="Arial" w:cs="Arial"/>
          <w:color w:val="3300FF"/>
          <w:sz w:val="18"/>
          <w:szCs w:val="18"/>
          <w:lang w:eastAsia="pt-BR"/>
        </w:rPr>
        <w:t>parte</w:t>
      </w:r>
      <w:r>
        <w:rPr>
          <w:rFonts w:ascii="Arial" w:eastAsia="Times New Roman" w:hAnsi="Arial" w:cs="Arial"/>
          <w:color w:val="3300FF"/>
          <w:sz w:val="18"/>
          <w:szCs w:val="18"/>
          <w:lang w:eastAsia="pt-BR"/>
        </w:rPr>
        <w:t xml:space="preserve"> </w:t>
      </w:r>
      <w:r w:rsidRPr="00A405E2">
        <w:rPr>
          <w:rFonts w:ascii="Arial" w:eastAsia="Times New Roman" w:hAnsi="Arial" w:cs="Arial"/>
          <w:color w:val="3300FF"/>
          <w:sz w:val="18"/>
          <w:szCs w:val="18"/>
          <w:lang w:eastAsia="pt-BR"/>
        </w:rPr>
        <w:t>interessada</w:t>
      </w:r>
      <w:r w:rsidRPr="4FB613B9">
        <w:rPr>
          <w:rFonts w:ascii="Arial" w:eastAsia="Times New Roman" w:hAnsi="Arial" w:cs="Arial"/>
          <w:color w:val="3300FF"/>
          <w:sz w:val="18"/>
          <w:szCs w:val="18"/>
          <w:lang w:eastAsia="pt-BR"/>
        </w:rPr>
        <w:t xml:space="preserve"> beneficiária da justiça gratuita</w:t>
      </w:r>
      <w:r w:rsidRPr="00D70113">
        <w:rPr>
          <w:rStyle w:val="Refdenotaderodap"/>
          <w:rFonts w:ascii="Arial" w:eastAsia="Times New Roman" w:hAnsi="Arial" w:cs="Arial"/>
          <w:color w:val="3300FF"/>
          <w:sz w:val="18"/>
          <w:szCs w:val="18"/>
          <w:lang w:eastAsia="pt-BR"/>
        </w:rPr>
        <w:footnoteReference w:id="4"/>
      </w:r>
      <w:r>
        <w:rPr>
          <w:rFonts w:ascii="Arial" w:eastAsia="Times New Roman" w:hAnsi="Arial" w:cs="Arial"/>
          <w:color w:val="3300FF"/>
          <w:sz w:val="18"/>
          <w:szCs w:val="18"/>
          <w:lang w:eastAsia="pt-BR"/>
        </w:rPr>
        <w:t xml:space="preserve"> (</w:t>
      </w:r>
      <w:r w:rsidRPr="00802382">
        <w:rPr>
          <w:rFonts w:ascii="Arial" w:eastAsia="Times New Roman" w:hAnsi="Arial" w:cs="Arial"/>
          <w:color w:val="3300FF"/>
          <w:sz w:val="18"/>
          <w:szCs w:val="18"/>
          <w:lang w:eastAsia="pt-BR"/>
        </w:rPr>
        <w:t xml:space="preserve">conforme </w:t>
      </w:r>
      <w:r>
        <w:rPr>
          <w:rFonts w:ascii="Arial" w:eastAsia="Times New Roman" w:hAnsi="Arial" w:cs="Arial"/>
          <w:color w:val="3300FF"/>
          <w:sz w:val="18"/>
          <w:szCs w:val="18"/>
          <w:lang w:eastAsia="pt-BR"/>
        </w:rPr>
        <w:t xml:space="preserve">decisão de </w:t>
      </w:r>
      <w:r w:rsidRPr="00802382">
        <w:rPr>
          <w:rFonts w:ascii="Arial" w:eastAsia="Times New Roman" w:hAnsi="Arial" w:cs="Arial"/>
          <w:color w:val="3300FF"/>
          <w:sz w:val="18"/>
          <w:szCs w:val="18"/>
          <w:lang w:eastAsia="pt-BR"/>
        </w:rPr>
        <w:t>mov. XX</w:t>
      </w:r>
      <w:r>
        <w:rPr>
          <w:rFonts w:ascii="Arial" w:eastAsia="Times New Roman" w:hAnsi="Arial" w:cs="Arial"/>
          <w:color w:val="3300FF"/>
          <w:sz w:val="18"/>
          <w:szCs w:val="18"/>
          <w:lang w:eastAsia="pt-BR"/>
        </w:rPr>
        <w:t>)</w:t>
      </w:r>
      <w:r w:rsidRPr="00802382">
        <w:rPr>
          <w:rFonts w:ascii="Arial" w:eastAsia="Times New Roman" w:hAnsi="Arial" w:cs="Arial"/>
          <w:color w:val="3300FF"/>
          <w:sz w:val="18"/>
          <w:szCs w:val="18"/>
          <w:lang w:eastAsia="pt-BR"/>
        </w:rPr>
        <w:t>.</w:t>
      </w:r>
      <w:r>
        <w:rPr>
          <w:rFonts w:ascii="Arial" w:eastAsia="Times New Roman" w:hAnsi="Arial" w:cs="Arial"/>
          <w:color w:val="3300FF"/>
          <w:sz w:val="18"/>
          <w:szCs w:val="18"/>
          <w:lang w:eastAsia="pt-BR"/>
        </w:rPr>
        <w:t xml:space="preserve"> </w:t>
      </w:r>
    </w:p>
    <w:p w14:paraId="0020733F" w14:textId="77777777" w:rsidR="008255A1" w:rsidRDefault="008255A1" w:rsidP="008255A1">
      <w:pPr>
        <w:spacing w:after="0" w:line="240" w:lineRule="auto"/>
        <w:jc w:val="both"/>
        <w:rPr>
          <w:rFonts w:ascii="Arial" w:eastAsia="Times New Roman" w:hAnsi="Arial" w:cs="Arial"/>
          <w:color w:val="3300FF"/>
          <w:sz w:val="18"/>
          <w:szCs w:val="18"/>
          <w:lang w:eastAsia="pt-BR"/>
        </w:rPr>
      </w:pPr>
      <w:r>
        <w:rPr>
          <w:rFonts w:ascii="Arial" w:eastAsia="Times New Roman" w:hAnsi="Arial" w:cs="Arial"/>
          <w:i/>
          <w:color w:val="3300FF"/>
          <w:sz w:val="18"/>
          <w:szCs w:val="18"/>
          <w:lang w:eastAsia="pt-BR"/>
        </w:rPr>
        <w:t>***</w:t>
      </w:r>
      <w:r w:rsidRPr="00A405E2">
        <w:rPr>
          <w:rFonts w:ascii="Arial" w:eastAsia="Times New Roman" w:hAnsi="Arial" w:cs="Arial"/>
          <w:i/>
          <w:color w:val="3300FF"/>
          <w:sz w:val="18"/>
          <w:szCs w:val="18"/>
          <w:lang w:eastAsia="pt-BR"/>
        </w:rPr>
        <w:t>(</w:t>
      </w:r>
      <w:proofErr w:type="spellStart"/>
      <w:r w:rsidRPr="00A405E2">
        <w:rPr>
          <w:rFonts w:ascii="Arial" w:eastAsia="Times New Roman" w:hAnsi="Arial" w:cs="Arial"/>
          <w:i/>
          <w:color w:val="3300FF"/>
          <w:sz w:val="18"/>
          <w:szCs w:val="18"/>
          <w:lang w:eastAsia="pt-BR"/>
        </w:rPr>
        <w:t>ii</w:t>
      </w:r>
      <w:proofErr w:type="spellEnd"/>
      <w:r w:rsidRPr="00A405E2">
        <w:rPr>
          <w:rFonts w:ascii="Arial" w:eastAsia="Times New Roman" w:hAnsi="Arial" w:cs="Arial"/>
          <w:i/>
          <w:color w:val="3300FF"/>
          <w:sz w:val="18"/>
          <w:szCs w:val="18"/>
          <w:lang w:eastAsia="pt-BR"/>
        </w:rPr>
        <w:t>)</w:t>
      </w:r>
      <w:r w:rsidRPr="008775E2">
        <w:rPr>
          <w:rFonts w:ascii="Arial" w:eastAsia="Times New Roman" w:hAnsi="Arial" w:cs="Arial"/>
          <w:color w:val="3300FF"/>
          <w:sz w:val="18"/>
          <w:szCs w:val="18"/>
          <w:lang w:eastAsia="pt-BR"/>
        </w:rPr>
        <w:t xml:space="preserve"> </w:t>
      </w:r>
      <w:r>
        <w:rPr>
          <w:rFonts w:ascii="Arial" w:eastAsia="Times New Roman" w:hAnsi="Arial" w:cs="Arial"/>
          <w:color w:val="3300FF"/>
          <w:sz w:val="18"/>
          <w:szCs w:val="18"/>
          <w:lang w:eastAsia="pt-BR"/>
        </w:rPr>
        <w:t xml:space="preserve">por </w:t>
      </w:r>
      <w:r w:rsidRPr="008775E2">
        <w:rPr>
          <w:rFonts w:ascii="Arial" w:eastAsia="Times New Roman" w:hAnsi="Arial" w:cs="Arial"/>
          <w:color w:val="3300FF"/>
          <w:sz w:val="18"/>
          <w:szCs w:val="18"/>
          <w:lang w:eastAsia="pt-BR"/>
        </w:rPr>
        <w:t xml:space="preserve">parte </w:t>
      </w:r>
      <w:r w:rsidRPr="009062C1">
        <w:rPr>
          <w:rFonts w:ascii="Arial" w:eastAsia="Times New Roman" w:hAnsi="Arial" w:cs="Arial"/>
          <w:color w:val="3300FF"/>
          <w:sz w:val="18"/>
          <w:szCs w:val="18"/>
          <w:lang w:eastAsia="pt-BR"/>
        </w:rPr>
        <w:t>interessada</w:t>
      </w:r>
      <w:r w:rsidRPr="004A53A8">
        <w:rPr>
          <w:rFonts w:ascii="Arial" w:eastAsia="Times New Roman" w:hAnsi="Arial" w:cs="Arial"/>
          <w:color w:val="3300FF"/>
          <w:sz w:val="18"/>
          <w:szCs w:val="18"/>
          <w:lang w:eastAsia="pt-BR"/>
        </w:rPr>
        <w:t xml:space="preserve"> </w:t>
      </w:r>
      <w:r>
        <w:rPr>
          <w:rFonts w:ascii="Arial" w:eastAsia="Times New Roman" w:hAnsi="Arial" w:cs="Arial"/>
          <w:color w:val="3300FF"/>
          <w:sz w:val="18"/>
          <w:szCs w:val="18"/>
          <w:lang w:eastAsia="pt-BR"/>
        </w:rPr>
        <w:t>com dispensa de recolhimento</w:t>
      </w:r>
      <w:r w:rsidRPr="00802382">
        <w:rPr>
          <w:rFonts w:ascii="Arial" w:eastAsia="Times New Roman" w:hAnsi="Arial" w:cs="Arial"/>
          <w:color w:val="3300FF"/>
          <w:sz w:val="18"/>
          <w:szCs w:val="18"/>
          <w:lang w:eastAsia="pt-BR"/>
        </w:rPr>
        <w:t>.</w:t>
      </w:r>
    </w:p>
    <w:p w14:paraId="77F1D9D3" w14:textId="77777777" w:rsidR="008255A1" w:rsidRDefault="008255A1" w:rsidP="008255A1">
      <w:pPr>
        <w:spacing w:after="0" w:line="240" w:lineRule="auto"/>
        <w:jc w:val="both"/>
        <w:rPr>
          <w:rFonts w:ascii="Arial" w:eastAsia="Times New Roman" w:hAnsi="Arial" w:cs="Arial"/>
          <w:color w:val="3300FF"/>
          <w:sz w:val="18"/>
          <w:szCs w:val="18"/>
          <w:lang w:eastAsia="pt-BR"/>
        </w:rPr>
      </w:pPr>
      <w:r w:rsidRPr="00A405E2">
        <w:rPr>
          <w:rFonts w:ascii="Arial" w:eastAsia="Times New Roman" w:hAnsi="Arial" w:cs="Arial"/>
          <w:i/>
          <w:color w:val="3300FF"/>
          <w:sz w:val="18"/>
          <w:szCs w:val="18"/>
          <w:lang w:eastAsia="pt-BR"/>
        </w:rPr>
        <w:t>***(</w:t>
      </w:r>
      <w:proofErr w:type="spellStart"/>
      <w:r w:rsidRPr="00A405E2">
        <w:rPr>
          <w:rFonts w:ascii="Arial" w:eastAsia="Times New Roman" w:hAnsi="Arial" w:cs="Arial"/>
          <w:i/>
          <w:color w:val="3300FF"/>
          <w:sz w:val="18"/>
          <w:szCs w:val="18"/>
          <w:lang w:eastAsia="pt-BR"/>
        </w:rPr>
        <w:t>iii</w:t>
      </w:r>
      <w:proofErr w:type="spellEnd"/>
      <w:r w:rsidRPr="00A405E2">
        <w:rPr>
          <w:rFonts w:ascii="Arial" w:eastAsia="Times New Roman" w:hAnsi="Arial" w:cs="Arial"/>
          <w:i/>
          <w:color w:val="3300FF"/>
          <w:sz w:val="18"/>
          <w:szCs w:val="18"/>
          <w:lang w:eastAsia="pt-BR"/>
        </w:rPr>
        <w:t>)</w:t>
      </w:r>
      <w:r>
        <w:rPr>
          <w:rFonts w:ascii="Arial" w:eastAsia="Times New Roman" w:hAnsi="Arial" w:cs="Arial"/>
          <w:color w:val="3300FF"/>
          <w:sz w:val="18"/>
          <w:szCs w:val="18"/>
          <w:lang w:eastAsia="pt-BR"/>
        </w:rPr>
        <w:t xml:space="preserve"> por </w:t>
      </w:r>
      <w:r w:rsidRPr="008775E2">
        <w:rPr>
          <w:rFonts w:ascii="Arial" w:eastAsia="Times New Roman" w:hAnsi="Arial" w:cs="Arial"/>
          <w:color w:val="3300FF"/>
          <w:sz w:val="18"/>
          <w:szCs w:val="18"/>
          <w:lang w:eastAsia="pt-BR"/>
        </w:rPr>
        <w:t xml:space="preserve">parte </w:t>
      </w:r>
      <w:r w:rsidRPr="009062C1">
        <w:rPr>
          <w:rFonts w:ascii="Arial" w:eastAsia="Times New Roman" w:hAnsi="Arial" w:cs="Arial"/>
          <w:color w:val="3300FF"/>
          <w:sz w:val="18"/>
          <w:szCs w:val="18"/>
          <w:lang w:eastAsia="pt-BR"/>
        </w:rPr>
        <w:t>interessada</w:t>
      </w:r>
      <w:r w:rsidRPr="004A53A8">
        <w:rPr>
          <w:rFonts w:ascii="Arial" w:eastAsia="Times New Roman" w:hAnsi="Arial" w:cs="Arial"/>
          <w:color w:val="3300FF"/>
          <w:sz w:val="18"/>
          <w:szCs w:val="18"/>
          <w:lang w:eastAsia="pt-BR"/>
        </w:rPr>
        <w:t xml:space="preserve"> </w:t>
      </w:r>
      <w:r w:rsidRPr="008775E2">
        <w:rPr>
          <w:rFonts w:ascii="Arial" w:eastAsia="Times New Roman" w:hAnsi="Arial" w:cs="Arial"/>
          <w:color w:val="3300FF"/>
          <w:sz w:val="18"/>
          <w:szCs w:val="18"/>
          <w:lang w:eastAsia="pt-BR"/>
        </w:rPr>
        <w:t>com diferi</w:t>
      </w:r>
      <w:r>
        <w:rPr>
          <w:rFonts w:ascii="Arial" w:eastAsia="Times New Roman" w:hAnsi="Arial" w:cs="Arial"/>
          <w:color w:val="3300FF"/>
          <w:sz w:val="18"/>
          <w:szCs w:val="18"/>
          <w:lang w:eastAsia="pt-BR"/>
        </w:rPr>
        <w:t>mento de recolhimento</w:t>
      </w:r>
      <w:r w:rsidRPr="00D70113">
        <w:rPr>
          <w:rStyle w:val="Refdenotaderodap"/>
          <w:rFonts w:ascii="Arial" w:eastAsia="Times New Roman" w:hAnsi="Arial" w:cs="Arial"/>
          <w:color w:val="3300FF"/>
          <w:sz w:val="18"/>
          <w:szCs w:val="18"/>
          <w:lang w:eastAsia="pt-BR"/>
        </w:rPr>
        <w:footnoteReference w:id="5"/>
      </w:r>
      <w:r w:rsidRPr="00802382">
        <w:rPr>
          <w:rFonts w:ascii="Arial" w:eastAsia="Times New Roman" w:hAnsi="Arial" w:cs="Arial"/>
          <w:color w:val="3300FF"/>
          <w:sz w:val="18"/>
          <w:szCs w:val="18"/>
          <w:lang w:eastAsia="pt-BR"/>
        </w:rPr>
        <w:t>.</w:t>
      </w:r>
    </w:p>
    <w:p w14:paraId="143E7EB9" w14:textId="77777777" w:rsidR="008255A1" w:rsidRDefault="008255A1" w:rsidP="008255A1">
      <w:pPr>
        <w:spacing w:after="0" w:line="240" w:lineRule="auto"/>
        <w:jc w:val="both"/>
        <w:rPr>
          <w:rFonts w:ascii="Arial" w:eastAsia="Times New Roman" w:hAnsi="Arial" w:cs="Arial"/>
          <w:color w:val="3300FF"/>
          <w:sz w:val="18"/>
          <w:szCs w:val="18"/>
          <w:lang w:eastAsia="pt-BR"/>
        </w:rPr>
      </w:pPr>
      <w:r w:rsidRPr="009062C1">
        <w:rPr>
          <w:rFonts w:ascii="Arial" w:eastAsia="Times New Roman" w:hAnsi="Arial" w:cs="Arial"/>
          <w:i/>
          <w:color w:val="3300FF"/>
          <w:sz w:val="18"/>
          <w:szCs w:val="18"/>
          <w:lang w:eastAsia="pt-BR"/>
        </w:rPr>
        <w:t>***(</w:t>
      </w:r>
      <w:proofErr w:type="spellStart"/>
      <w:r w:rsidRPr="009062C1">
        <w:rPr>
          <w:rFonts w:ascii="Arial" w:eastAsia="Times New Roman" w:hAnsi="Arial" w:cs="Arial"/>
          <w:i/>
          <w:color w:val="3300FF"/>
          <w:sz w:val="18"/>
          <w:szCs w:val="18"/>
          <w:lang w:eastAsia="pt-BR"/>
        </w:rPr>
        <w:t>iv</w:t>
      </w:r>
      <w:proofErr w:type="spellEnd"/>
      <w:r w:rsidRPr="009062C1">
        <w:rPr>
          <w:rFonts w:ascii="Arial" w:eastAsia="Times New Roman" w:hAnsi="Arial" w:cs="Arial"/>
          <w:i/>
          <w:color w:val="3300FF"/>
          <w:sz w:val="18"/>
          <w:szCs w:val="18"/>
          <w:lang w:eastAsia="pt-BR"/>
        </w:rPr>
        <w:t>)</w:t>
      </w:r>
      <w:r>
        <w:rPr>
          <w:rFonts w:ascii="Arial" w:eastAsia="Times New Roman" w:hAnsi="Arial" w:cs="Arial"/>
          <w:color w:val="3300FF"/>
          <w:sz w:val="18"/>
          <w:szCs w:val="18"/>
          <w:lang w:eastAsia="pt-BR"/>
        </w:rPr>
        <w:t xml:space="preserve"> </w:t>
      </w:r>
      <w:r w:rsidRPr="009062C1">
        <w:rPr>
          <w:rFonts w:ascii="Arial" w:eastAsia="Times New Roman" w:hAnsi="Arial" w:cs="Arial"/>
          <w:color w:val="3300FF"/>
          <w:sz w:val="18"/>
          <w:szCs w:val="18"/>
          <w:lang w:eastAsia="pt-BR"/>
        </w:rPr>
        <w:t xml:space="preserve">pela Fazenda Pública exequente, que possui </w:t>
      </w:r>
      <w:r w:rsidRPr="008775E2">
        <w:rPr>
          <w:rFonts w:ascii="Arial" w:eastAsia="Times New Roman" w:hAnsi="Arial" w:cs="Arial"/>
          <w:color w:val="3300FF"/>
          <w:sz w:val="18"/>
          <w:szCs w:val="18"/>
          <w:lang w:eastAsia="pt-BR"/>
        </w:rPr>
        <w:t>diferi</w:t>
      </w:r>
      <w:r>
        <w:rPr>
          <w:rFonts w:ascii="Arial" w:eastAsia="Times New Roman" w:hAnsi="Arial" w:cs="Arial"/>
          <w:color w:val="3300FF"/>
          <w:sz w:val="18"/>
          <w:szCs w:val="18"/>
          <w:lang w:eastAsia="pt-BR"/>
        </w:rPr>
        <w:t>mento de recolhimento</w:t>
      </w:r>
      <w:r w:rsidRPr="00D70113">
        <w:rPr>
          <w:rStyle w:val="Refdenotaderodap"/>
          <w:rFonts w:ascii="Arial" w:eastAsia="Times New Roman" w:hAnsi="Arial" w:cs="Arial"/>
          <w:color w:val="3300FF"/>
          <w:sz w:val="18"/>
          <w:szCs w:val="18"/>
          <w:lang w:eastAsia="pt-BR"/>
        </w:rPr>
        <w:footnoteReference w:id="6"/>
      </w:r>
      <w:r w:rsidRPr="009062C1">
        <w:rPr>
          <w:rFonts w:ascii="Arial" w:eastAsia="Times New Roman" w:hAnsi="Arial" w:cs="Arial"/>
          <w:color w:val="3300FF"/>
          <w:sz w:val="18"/>
          <w:szCs w:val="18"/>
          <w:lang w:eastAsia="pt-BR"/>
        </w:rPr>
        <w:t>, nos termos do art. 39 da Lei nº 6.830/1980</w:t>
      </w:r>
      <w:r w:rsidRPr="00802382">
        <w:rPr>
          <w:rFonts w:ascii="Arial" w:eastAsia="Times New Roman" w:hAnsi="Arial" w:cs="Arial"/>
          <w:color w:val="3300FF"/>
          <w:sz w:val="18"/>
          <w:szCs w:val="18"/>
          <w:lang w:eastAsia="pt-BR"/>
        </w:rPr>
        <w:t>.</w:t>
      </w:r>
    </w:p>
    <w:p w14:paraId="3C9045DD" w14:textId="5B607360" w:rsidR="008255A1" w:rsidRDefault="008255A1" w:rsidP="008255A1">
      <w:pPr>
        <w:spacing w:after="0" w:line="240" w:lineRule="auto"/>
        <w:jc w:val="both"/>
        <w:rPr>
          <w:rFonts w:ascii="Arial" w:eastAsia="Times New Roman" w:hAnsi="Arial" w:cs="Arial"/>
          <w:sz w:val="18"/>
          <w:szCs w:val="18"/>
          <w:lang w:eastAsia="pt-BR"/>
        </w:rPr>
      </w:pPr>
      <w:r w:rsidRPr="009062C1">
        <w:rPr>
          <w:rFonts w:ascii="Arial" w:eastAsia="Times New Roman" w:hAnsi="Arial" w:cs="Arial"/>
          <w:i/>
          <w:color w:val="3300FF"/>
          <w:sz w:val="18"/>
          <w:szCs w:val="18"/>
          <w:lang w:eastAsia="pt-BR"/>
        </w:rPr>
        <w:t>***(</w:t>
      </w:r>
      <w:proofErr w:type="spellStart"/>
      <w:r w:rsidRPr="009062C1">
        <w:rPr>
          <w:rFonts w:ascii="Arial" w:eastAsia="Times New Roman" w:hAnsi="Arial" w:cs="Arial"/>
          <w:i/>
          <w:color w:val="3300FF"/>
          <w:sz w:val="18"/>
          <w:szCs w:val="18"/>
          <w:lang w:eastAsia="pt-BR"/>
        </w:rPr>
        <w:t>i</w:t>
      </w:r>
      <w:r>
        <w:rPr>
          <w:rFonts w:ascii="Arial" w:eastAsia="Times New Roman" w:hAnsi="Arial" w:cs="Arial"/>
          <w:i/>
          <w:color w:val="3300FF"/>
          <w:sz w:val="18"/>
          <w:szCs w:val="18"/>
          <w:lang w:eastAsia="pt-BR"/>
        </w:rPr>
        <w:t>v</w:t>
      </w:r>
      <w:proofErr w:type="spellEnd"/>
      <w:r w:rsidRPr="009062C1">
        <w:rPr>
          <w:rFonts w:ascii="Arial" w:eastAsia="Times New Roman" w:hAnsi="Arial" w:cs="Arial"/>
          <w:i/>
          <w:color w:val="3300FF"/>
          <w:sz w:val="18"/>
          <w:szCs w:val="18"/>
          <w:lang w:eastAsia="pt-BR"/>
        </w:rPr>
        <w:t>)</w:t>
      </w:r>
      <w:r>
        <w:rPr>
          <w:rFonts w:ascii="Arial" w:eastAsia="Times New Roman" w:hAnsi="Arial" w:cs="Arial"/>
          <w:color w:val="3300FF"/>
          <w:sz w:val="18"/>
          <w:szCs w:val="18"/>
          <w:lang w:eastAsia="pt-BR"/>
        </w:rPr>
        <w:t xml:space="preserve"> processo judicial em trâmite no </w:t>
      </w:r>
      <w:r w:rsidRPr="008775E2">
        <w:rPr>
          <w:rFonts w:ascii="Arial" w:eastAsia="Times New Roman" w:hAnsi="Arial" w:cs="Arial"/>
          <w:color w:val="3300FF"/>
          <w:sz w:val="18"/>
          <w:szCs w:val="18"/>
          <w:lang w:eastAsia="pt-BR"/>
        </w:rPr>
        <w:t>Juizado Especial</w:t>
      </w:r>
      <w:r w:rsidR="001973FB" w:rsidRPr="00D70113">
        <w:rPr>
          <w:rStyle w:val="Refdenotaderodap"/>
          <w:rFonts w:ascii="Arial" w:eastAsia="Times New Roman" w:hAnsi="Arial" w:cs="Arial"/>
          <w:color w:val="3300FF"/>
          <w:sz w:val="18"/>
          <w:szCs w:val="18"/>
          <w:lang w:eastAsia="pt-BR"/>
        </w:rPr>
        <w:footnoteReference w:id="7"/>
      </w:r>
      <w:r w:rsidRPr="00802382">
        <w:rPr>
          <w:rFonts w:ascii="Arial" w:eastAsia="Times New Roman" w:hAnsi="Arial" w:cs="Arial"/>
          <w:color w:val="3300FF"/>
          <w:sz w:val="18"/>
          <w:szCs w:val="18"/>
          <w:lang w:eastAsia="pt-BR"/>
        </w:rPr>
        <w:t>.</w:t>
      </w:r>
    </w:p>
    <w:p w14:paraId="129914B4" w14:textId="77777777" w:rsidR="00221857" w:rsidRDefault="00221857" w:rsidP="00744E35">
      <w:pPr>
        <w:spacing w:after="0" w:line="240" w:lineRule="auto"/>
        <w:jc w:val="both"/>
        <w:rPr>
          <w:rFonts w:ascii="Arial" w:eastAsia="Times New Roman" w:hAnsi="Arial" w:cs="Arial"/>
          <w:sz w:val="18"/>
          <w:szCs w:val="18"/>
          <w:lang w:eastAsia="pt-BR"/>
        </w:rPr>
      </w:pPr>
    </w:p>
    <w:p w14:paraId="31C5EDAB" w14:textId="1381264F" w:rsidR="008255A1" w:rsidRDefault="002C079E" w:rsidP="008255A1">
      <w:pPr>
        <w:spacing w:after="0" w:line="240" w:lineRule="auto"/>
        <w:jc w:val="both"/>
        <w:rPr>
          <w:rFonts w:ascii="Arial" w:eastAsia="Times New Roman" w:hAnsi="Arial" w:cs="Arial"/>
          <w:sz w:val="18"/>
          <w:szCs w:val="18"/>
          <w:lang w:eastAsia="pt-BR"/>
        </w:rPr>
      </w:pPr>
      <w:r w:rsidRPr="00C44464">
        <w:rPr>
          <w:rFonts w:ascii="Arial" w:eastAsia="Times New Roman" w:hAnsi="Arial" w:cs="Arial"/>
          <w:sz w:val="18"/>
          <w:szCs w:val="18"/>
          <w:lang w:eastAsia="pt-BR"/>
        </w:rPr>
        <w:t xml:space="preserve">Solicito, por fim, o envio de resposta com a </w:t>
      </w:r>
      <w:r>
        <w:rPr>
          <w:rFonts w:ascii="Arial" w:eastAsia="Times New Roman" w:hAnsi="Arial" w:cs="Arial"/>
          <w:sz w:val="18"/>
          <w:szCs w:val="18"/>
          <w:lang w:eastAsia="pt-BR"/>
        </w:rPr>
        <w:t>certidão comprobatória</w:t>
      </w:r>
      <w:r w:rsidRPr="00C44464">
        <w:rPr>
          <w:rFonts w:ascii="Arial" w:eastAsia="Times New Roman" w:hAnsi="Arial" w:cs="Arial"/>
          <w:sz w:val="18"/>
          <w:szCs w:val="18"/>
          <w:lang w:eastAsia="pt-BR"/>
        </w:rPr>
        <w:t xml:space="preserve"> do cumprimento da determinação judicial</w:t>
      </w:r>
      <w:r>
        <w:rPr>
          <w:rFonts w:ascii="Arial" w:eastAsia="Times New Roman" w:hAnsi="Arial" w:cs="Arial"/>
          <w:sz w:val="18"/>
          <w:szCs w:val="18"/>
          <w:lang w:eastAsia="pt-BR"/>
        </w:rPr>
        <w:t>, a</w:t>
      </w:r>
      <w:r w:rsidRPr="00C44464">
        <w:rPr>
          <w:rFonts w:ascii="Arial" w:eastAsia="Times New Roman" w:hAnsi="Arial" w:cs="Arial"/>
          <w:sz w:val="18"/>
          <w:szCs w:val="18"/>
          <w:lang w:eastAsia="pt-BR"/>
        </w:rPr>
        <w:t xml:space="preserve"> </w:t>
      </w:r>
      <w:r>
        <w:rPr>
          <w:rFonts w:ascii="Arial" w:eastAsia="Times New Roman" w:hAnsi="Arial" w:cs="Arial"/>
          <w:sz w:val="18"/>
          <w:szCs w:val="18"/>
          <w:lang w:eastAsia="pt-BR"/>
        </w:rPr>
        <w:t>cópia do ato realizado e o recibo do pagamento do ato (se for o caso), por meio</w:t>
      </w:r>
      <w:r w:rsidRPr="00C44464">
        <w:rPr>
          <w:rFonts w:ascii="Arial" w:eastAsia="Times New Roman" w:hAnsi="Arial" w:cs="Arial"/>
          <w:sz w:val="18"/>
          <w:szCs w:val="18"/>
          <w:lang w:eastAsia="pt-BR"/>
        </w:rPr>
        <w:t xml:space="preserve"> do Sistema </w:t>
      </w:r>
      <w:proofErr w:type="spellStart"/>
      <w:r w:rsidRPr="00C44464">
        <w:rPr>
          <w:rFonts w:ascii="Arial" w:eastAsia="Times New Roman" w:hAnsi="Arial" w:cs="Arial"/>
          <w:sz w:val="18"/>
          <w:szCs w:val="18"/>
          <w:lang w:eastAsia="pt-BR"/>
        </w:rPr>
        <w:t>Projudi</w:t>
      </w:r>
      <w:proofErr w:type="spellEnd"/>
      <w:r>
        <w:rPr>
          <w:rFonts w:ascii="Arial" w:eastAsia="Times New Roman" w:hAnsi="Arial" w:cs="Arial"/>
          <w:sz w:val="18"/>
          <w:szCs w:val="18"/>
          <w:lang w:eastAsia="pt-BR"/>
        </w:rPr>
        <w:t xml:space="preserve">, </w:t>
      </w:r>
      <w:r w:rsidRPr="00C44464">
        <w:rPr>
          <w:rFonts w:ascii="Arial" w:eastAsia="Times New Roman" w:hAnsi="Arial" w:cs="Arial"/>
          <w:sz w:val="18"/>
          <w:szCs w:val="18"/>
          <w:lang w:eastAsia="pt-BR"/>
        </w:rPr>
        <w:t>na forma estabelecida pela Instrução Normativa Conjunta nº 136/2023-GCJ/GC.</w:t>
      </w:r>
    </w:p>
    <w:p w14:paraId="208A86C4" w14:textId="6FF60DD9" w:rsidR="00A958C8" w:rsidRDefault="00A958C8" w:rsidP="00744E35">
      <w:pPr>
        <w:spacing w:after="0" w:line="240" w:lineRule="auto"/>
        <w:jc w:val="both"/>
        <w:rPr>
          <w:rFonts w:ascii="Arial" w:eastAsia="Times New Roman" w:hAnsi="Arial" w:cs="Arial"/>
          <w:sz w:val="18"/>
          <w:szCs w:val="18"/>
          <w:lang w:eastAsia="pt-BR"/>
        </w:rPr>
      </w:pPr>
    </w:p>
    <w:p w14:paraId="38C3D270" w14:textId="77777777" w:rsidR="00E209C5" w:rsidRPr="00B97443" w:rsidRDefault="00E209C5" w:rsidP="00E209C5">
      <w:pPr>
        <w:spacing w:after="0" w:line="240" w:lineRule="auto"/>
        <w:jc w:val="center"/>
        <w:rPr>
          <w:rFonts w:ascii="Times New Roman" w:eastAsia="Times New Roman" w:hAnsi="Times New Roman" w:cs="Times New Roman"/>
          <w:sz w:val="14"/>
          <w:szCs w:val="14"/>
          <w:lang w:eastAsia="pt-BR"/>
        </w:rPr>
      </w:pPr>
      <w:r w:rsidRPr="00B97443">
        <w:rPr>
          <w:rFonts w:ascii="Arial" w:eastAsia="Times New Roman" w:hAnsi="Arial" w:cs="Arial"/>
          <w:b/>
          <w:bCs/>
          <w:sz w:val="14"/>
          <w:szCs w:val="14"/>
          <w:lang w:eastAsia="pt-BR"/>
        </w:rPr>
        <w:lastRenderedPageBreak/>
        <w:t xml:space="preserve">$assinaturaUsuarioLogadoPorOrdemJuiz2 </w:t>
      </w:r>
    </w:p>
    <w:p w14:paraId="4B6CDD04" w14:textId="77777777" w:rsidR="00E209C5" w:rsidRPr="00B97443" w:rsidRDefault="00E209C5" w:rsidP="00E209C5">
      <w:pPr>
        <w:spacing w:after="0" w:line="240" w:lineRule="auto"/>
        <w:jc w:val="center"/>
        <w:rPr>
          <w:rFonts w:ascii="Times New Roman" w:eastAsia="Times New Roman" w:hAnsi="Times New Roman" w:cs="Times New Roman"/>
          <w:sz w:val="14"/>
          <w:szCs w:val="14"/>
          <w:lang w:eastAsia="pt-BR"/>
        </w:rPr>
      </w:pPr>
      <w:r w:rsidRPr="001108F5">
        <w:rPr>
          <w:rFonts w:ascii="Arial" w:eastAsia="Times New Roman" w:hAnsi="Arial" w:cs="Arial"/>
          <w:i/>
          <w:iCs/>
          <w:sz w:val="14"/>
          <w:szCs w:val="14"/>
          <w:lang w:eastAsia="pt-BR"/>
        </w:rPr>
        <w:t>(Assinatura autorizada pelo Decreto Judiciário nº 753/2011)</w:t>
      </w:r>
    </w:p>
    <w:p w14:paraId="5DAB6C7B" w14:textId="1F10D7AA" w:rsidR="004311A6" w:rsidRPr="004A53A8" w:rsidRDefault="00E209C5" w:rsidP="004B6523">
      <w:pPr>
        <w:spacing w:after="0" w:line="240" w:lineRule="auto"/>
        <w:jc w:val="both"/>
        <w:rPr>
          <w:rFonts w:ascii="Arial" w:eastAsia="Times New Roman" w:hAnsi="Arial" w:cs="Arial"/>
          <w:sz w:val="24"/>
          <w:szCs w:val="24"/>
          <w:lang w:eastAsia="pt-BR"/>
        </w:rPr>
      </w:pPr>
      <w:r w:rsidRPr="00B97443">
        <w:rPr>
          <w:rFonts w:ascii="Arial" w:eastAsia="Times New Roman" w:hAnsi="Arial" w:cs="Arial"/>
          <w:b/>
          <w:bCs/>
          <w:sz w:val="14"/>
          <w:szCs w:val="14"/>
          <w:lang w:eastAsia="pt-BR"/>
        </w:rPr>
        <w:t>OBSERVAÇÃO:</w:t>
      </w:r>
      <w:r w:rsidRPr="00B97443">
        <w:rPr>
          <w:rFonts w:ascii="Arial" w:eastAsia="Times New Roman" w:hAnsi="Arial" w:cs="Arial"/>
          <w:sz w:val="14"/>
          <w:szCs w:val="14"/>
          <w:lang w:eastAsia="pt-BR"/>
        </w:rPr>
        <w:t xml:space="preserve"> Comunicação expedida em conformidade com a Instrução Normativa Conjunta nº 136/2023-GCJ/GC. O mencionado processo tramita exclusivamente pelo sistema </w:t>
      </w:r>
      <w:proofErr w:type="spellStart"/>
      <w:r w:rsidRPr="00B97443">
        <w:rPr>
          <w:rFonts w:ascii="Arial" w:eastAsia="Times New Roman" w:hAnsi="Arial" w:cs="Arial"/>
          <w:sz w:val="14"/>
          <w:szCs w:val="14"/>
          <w:lang w:eastAsia="pt-BR"/>
        </w:rPr>
        <w:t>Projudi</w:t>
      </w:r>
      <w:proofErr w:type="spellEnd"/>
      <w:r w:rsidRPr="00B97443">
        <w:rPr>
          <w:rFonts w:ascii="Arial" w:eastAsia="Times New Roman" w:hAnsi="Arial" w:cs="Arial"/>
          <w:sz w:val="14"/>
          <w:szCs w:val="14"/>
          <w:lang w:eastAsia="pt-BR"/>
        </w:rPr>
        <w:t xml:space="preserve">, acessível no endereço eletrônico </w:t>
      </w:r>
      <w:r w:rsidRPr="00B97443">
        <w:rPr>
          <w:rFonts w:ascii="Arial" w:eastAsia="Times New Roman" w:hAnsi="Arial" w:cs="Arial"/>
          <w:b/>
          <w:bCs/>
          <w:sz w:val="14"/>
          <w:szCs w:val="14"/>
          <w:lang w:eastAsia="pt-BR"/>
        </w:rPr>
        <w:t>https://projudi.tjpr.jus.br/projudi/</w:t>
      </w:r>
      <w:r w:rsidRPr="00B97443">
        <w:rPr>
          <w:rFonts w:ascii="Arial" w:eastAsia="Times New Roman" w:hAnsi="Arial" w:cs="Arial"/>
          <w:bCs/>
          <w:sz w:val="14"/>
          <w:szCs w:val="14"/>
          <w:lang w:eastAsia="pt-BR"/>
        </w:rPr>
        <w:t>.</w:t>
      </w:r>
    </w:p>
    <w:sectPr w:rsidR="004311A6" w:rsidRPr="004A53A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1DA21" w14:textId="77777777" w:rsidR="008F3E5B" w:rsidRDefault="008F3E5B" w:rsidP="008F3E5B">
      <w:pPr>
        <w:spacing w:after="0" w:line="240" w:lineRule="auto"/>
      </w:pPr>
      <w:r>
        <w:separator/>
      </w:r>
    </w:p>
  </w:endnote>
  <w:endnote w:type="continuationSeparator" w:id="0">
    <w:p w14:paraId="00C9EE7F" w14:textId="77777777" w:rsidR="008F3E5B" w:rsidRDefault="008F3E5B" w:rsidP="008F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17BC5" w14:textId="77777777" w:rsidR="008F3E5B" w:rsidRDefault="008F3E5B" w:rsidP="008F3E5B">
      <w:pPr>
        <w:spacing w:after="0" w:line="240" w:lineRule="auto"/>
      </w:pPr>
      <w:r>
        <w:separator/>
      </w:r>
    </w:p>
  </w:footnote>
  <w:footnote w:type="continuationSeparator" w:id="0">
    <w:p w14:paraId="20481A40" w14:textId="77777777" w:rsidR="008F3E5B" w:rsidRDefault="008F3E5B" w:rsidP="008F3E5B">
      <w:pPr>
        <w:spacing w:after="0" w:line="240" w:lineRule="auto"/>
      </w:pPr>
      <w:r>
        <w:continuationSeparator/>
      </w:r>
    </w:p>
  </w:footnote>
  <w:footnote w:id="1">
    <w:p w14:paraId="4C49CE96" w14:textId="73FF7BE6" w:rsidR="009106A6" w:rsidRPr="004A53A8" w:rsidRDefault="009106A6" w:rsidP="009106A6">
      <w:pPr>
        <w:pStyle w:val="Textodenotaderodap"/>
        <w:jc w:val="both"/>
        <w:rPr>
          <w:rFonts w:ascii="Arial" w:hAnsi="Arial" w:cs="Arial"/>
          <w:sz w:val="14"/>
          <w:szCs w:val="16"/>
        </w:rPr>
      </w:pPr>
      <w:r w:rsidRPr="004A53A8">
        <w:rPr>
          <w:rStyle w:val="Refdenotaderodap"/>
          <w:rFonts w:ascii="Arial" w:hAnsi="Arial" w:cs="Arial"/>
          <w:sz w:val="14"/>
          <w:szCs w:val="16"/>
        </w:rPr>
        <w:footnoteRef/>
      </w:r>
      <w:r w:rsidRPr="004A53A8">
        <w:rPr>
          <w:rFonts w:ascii="Arial" w:hAnsi="Arial" w:cs="Arial"/>
          <w:sz w:val="14"/>
          <w:szCs w:val="16"/>
        </w:rPr>
        <w:t xml:space="preserve"> Lei nº 6.015/1973: “Art. 248 - O cancelamento efetuar-se-á mediante averbação, assinada pelo oficial, seu substituto legal ou escrevente autorizado, e declarará o motivo que o determinou, bem como o título em virtude do qual foi feito. Art. 249 - O cancelamento poderá ser total ou parcial e referir-se a qualquer dos atos do registro. Art. 250 - Far-se-á o cancelamento: I - em cumprimento de decisão judicial transitada em julgado; [...]”</w:t>
      </w:r>
      <w:r w:rsidR="004B6523">
        <w:rPr>
          <w:rFonts w:ascii="Arial" w:hAnsi="Arial" w:cs="Arial"/>
          <w:sz w:val="14"/>
          <w:szCs w:val="16"/>
        </w:rPr>
        <w:t>.</w:t>
      </w:r>
    </w:p>
  </w:footnote>
  <w:footnote w:id="2">
    <w:p w14:paraId="0530727E" w14:textId="0FD4CCB4" w:rsidR="004747FE" w:rsidRDefault="004747FE" w:rsidP="004747FE">
      <w:pPr>
        <w:pStyle w:val="Textodenotaderodap"/>
        <w:jc w:val="both"/>
      </w:pPr>
      <w:r w:rsidRPr="00612B1A">
        <w:rPr>
          <w:rStyle w:val="Refdenotaderodap"/>
          <w:rFonts w:ascii="Arial" w:hAnsi="Arial" w:cs="Arial"/>
          <w:sz w:val="14"/>
          <w:szCs w:val="14"/>
        </w:rPr>
        <w:footnoteRef/>
      </w:r>
      <w:r w:rsidRPr="00612B1A">
        <w:rPr>
          <w:rFonts w:ascii="Arial" w:hAnsi="Arial" w:cs="Arial"/>
          <w:sz w:val="14"/>
          <w:szCs w:val="14"/>
        </w:rPr>
        <w:t xml:space="preserve"> </w:t>
      </w:r>
      <w:r w:rsidR="00C4091A" w:rsidRPr="00612B1A">
        <w:rPr>
          <w:rFonts w:ascii="Arial" w:hAnsi="Arial" w:cs="Arial"/>
          <w:color w:val="000000"/>
          <w:sz w:val="14"/>
          <w:szCs w:val="14"/>
          <w:u w:val="single"/>
        </w:rPr>
        <w:t>Caso o imóvel tenha passado a pertencer a outra circunscrição</w:t>
      </w:r>
      <w:r w:rsidR="00C4091A" w:rsidRPr="00612B1A">
        <w:rPr>
          <w:rFonts w:ascii="Arial" w:hAnsi="Arial" w:cs="Arial"/>
          <w:color w:val="000000"/>
          <w:sz w:val="14"/>
          <w:szCs w:val="14"/>
        </w:rPr>
        <w:t xml:space="preserve">, </w:t>
      </w:r>
      <w:r w:rsidR="00C4091A">
        <w:rPr>
          <w:rFonts w:ascii="Arial" w:hAnsi="Arial" w:cs="Arial"/>
          <w:color w:val="000000"/>
          <w:sz w:val="14"/>
          <w:szCs w:val="14"/>
        </w:rPr>
        <w:t xml:space="preserve">a averbação deve ser realizada </w:t>
      </w:r>
      <w:r w:rsidR="00C4091A" w:rsidRPr="00612B1A">
        <w:rPr>
          <w:rFonts w:ascii="Arial" w:hAnsi="Arial" w:cs="Arial"/>
          <w:color w:val="000000"/>
          <w:sz w:val="14"/>
          <w:szCs w:val="14"/>
        </w:rPr>
        <w:t>junto à matrícula aberta na serventia do registro de imóveis da situação do imóvel</w:t>
      </w:r>
      <w:r w:rsidR="00C4091A">
        <w:rPr>
          <w:rFonts w:ascii="Arial" w:hAnsi="Arial" w:cs="Arial"/>
          <w:color w:val="000000"/>
          <w:sz w:val="14"/>
          <w:szCs w:val="14"/>
        </w:rPr>
        <w:t xml:space="preserve">; se o título </w:t>
      </w:r>
      <w:r w:rsidR="00C4091A">
        <w:rPr>
          <w:rFonts w:ascii="Arial" w:hAnsi="Arial" w:cs="Arial"/>
          <w:color w:val="000000"/>
          <w:sz w:val="14"/>
          <w:szCs w:val="14"/>
          <w:u w:val="single"/>
        </w:rPr>
        <w:t>não possuir</w:t>
      </w:r>
      <w:r w:rsidR="00C4091A" w:rsidRPr="00C4091A">
        <w:rPr>
          <w:rFonts w:ascii="Arial" w:hAnsi="Arial" w:cs="Arial"/>
          <w:color w:val="000000"/>
          <w:sz w:val="14"/>
          <w:szCs w:val="14"/>
          <w:u w:val="single"/>
        </w:rPr>
        <w:t xml:space="preserve"> todos os requisitos para a abertura de </w:t>
      </w:r>
      <w:r w:rsidR="00C4091A">
        <w:rPr>
          <w:rFonts w:ascii="Arial" w:hAnsi="Arial" w:cs="Arial"/>
          <w:color w:val="000000"/>
          <w:sz w:val="14"/>
          <w:szCs w:val="14"/>
          <w:u w:val="single"/>
        </w:rPr>
        <w:t xml:space="preserve">nova </w:t>
      </w:r>
      <w:r w:rsidR="00C4091A" w:rsidRPr="00C4091A">
        <w:rPr>
          <w:rFonts w:ascii="Arial" w:hAnsi="Arial" w:cs="Arial"/>
          <w:color w:val="000000"/>
          <w:sz w:val="14"/>
          <w:szCs w:val="14"/>
          <w:u w:val="single"/>
        </w:rPr>
        <w:t>matrícula, admitir-se-á que se f</w:t>
      </w:r>
      <w:r w:rsidR="00C4091A">
        <w:rPr>
          <w:rFonts w:ascii="Arial" w:hAnsi="Arial" w:cs="Arial"/>
          <w:color w:val="000000"/>
          <w:sz w:val="14"/>
          <w:szCs w:val="14"/>
          <w:u w:val="single"/>
        </w:rPr>
        <w:t>açam na circunscrição de origem</w:t>
      </w:r>
      <w:r w:rsidR="00C4091A" w:rsidRPr="00C4091A">
        <w:rPr>
          <w:rFonts w:ascii="Arial" w:hAnsi="Arial" w:cs="Arial"/>
          <w:color w:val="000000"/>
          <w:sz w:val="14"/>
          <w:szCs w:val="14"/>
          <w:u w:val="single"/>
        </w:rPr>
        <w:t xml:space="preserve"> </w:t>
      </w:r>
      <w:r w:rsidRPr="00612B1A">
        <w:rPr>
          <w:rFonts w:ascii="Arial" w:hAnsi="Arial" w:cs="Arial"/>
          <w:color w:val="000000"/>
          <w:sz w:val="14"/>
          <w:szCs w:val="14"/>
        </w:rPr>
        <w:t>conforme a Lei nº 6.015/1973: “Art. 169. Todos os atos enumerados no art. 167 desta Lei são obrigatórios e serão efetuados na serventia da situação do imóvel, observado o seguinte: I - as averbações serão efetuadas na matrícula ou à margem do registro a que se referirem, ainda que o imóvel tenha passado a pertencer a outra circunscrição, observado o disposto no inciso I do § 1º e no § 18 do art. 176 desta Lei;</w:t>
      </w:r>
      <w:r w:rsidR="008255A1">
        <w:rPr>
          <w:rFonts w:ascii="Arial" w:hAnsi="Arial" w:cs="Arial"/>
          <w:color w:val="000000"/>
          <w:sz w:val="14"/>
          <w:szCs w:val="14"/>
        </w:rPr>
        <w:t>”</w:t>
      </w:r>
      <w:r w:rsidR="00666BFB">
        <w:rPr>
          <w:rFonts w:ascii="Arial" w:hAnsi="Arial" w:cs="Arial"/>
          <w:color w:val="000000"/>
          <w:sz w:val="14"/>
          <w:szCs w:val="14"/>
        </w:rPr>
        <w:t>.</w:t>
      </w:r>
    </w:p>
  </w:footnote>
  <w:footnote w:id="3">
    <w:p w14:paraId="5A726F49" w14:textId="2F92511B" w:rsidR="008255A1" w:rsidRPr="00E07603" w:rsidRDefault="008255A1" w:rsidP="008255A1">
      <w:pPr>
        <w:pStyle w:val="Textodenotaderodap"/>
        <w:jc w:val="both"/>
        <w:rPr>
          <w:rFonts w:ascii="Arial" w:hAnsi="Arial" w:cs="Arial"/>
          <w:sz w:val="18"/>
        </w:rPr>
      </w:pPr>
      <w:r w:rsidRPr="00E07603">
        <w:rPr>
          <w:rStyle w:val="Refdenotaderodap"/>
          <w:rFonts w:ascii="Arial" w:hAnsi="Arial" w:cs="Arial"/>
          <w:sz w:val="14"/>
          <w:szCs w:val="16"/>
        </w:rPr>
        <w:footnoteRef/>
      </w:r>
      <w:r w:rsidRPr="00E07603">
        <w:rPr>
          <w:rFonts w:ascii="Arial" w:hAnsi="Arial" w:cs="Arial"/>
          <w:sz w:val="14"/>
          <w:szCs w:val="16"/>
        </w:rPr>
        <w:t xml:space="preserve"> Código de Normas do Foro Extrajudicial do TJPR</w:t>
      </w:r>
      <w:r>
        <w:rPr>
          <w:rFonts w:ascii="Arial" w:hAnsi="Arial" w:cs="Arial"/>
          <w:sz w:val="14"/>
          <w:szCs w:val="16"/>
        </w:rPr>
        <w:t xml:space="preserve"> (Provimento nº 249/2013)</w:t>
      </w:r>
      <w:r w:rsidRPr="00E07603">
        <w:rPr>
          <w:rFonts w:ascii="Arial" w:hAnsi="Arial" w:cs="Arial"/>
          <w:sz w:val="14"/>
          <w:szCs w:val="16"/>
        </w:rPr>
        <w:t xml:space="preserve">: “Art. 491. Não se fará registro ou averbação nos cadastros do serviço sem o prévio recolhimento da receita devida ao </w:t>
      </w:r>
      <w:proofErr w:type="spellStart"/>
      <w:r w:rsidRPr="00E07603">
        <w:rPr>
          <w:rFonts w:ascii="Arial" w:hAnsi="Arial" w:cs="Arial"/>
          <w:sz w:val="14"/>
          <w:szCs w:val="16"/>
        </w:rPr>
        <w:t>Funrejus</w:t>
      </w:r>
      <w:proofErr w:type="spellEnd"/>
      <w:r w:rsidRPr="00E07603">
        <w:rPr>
          <w:rFonts w:ascii="Arial" w:hAnsi="Arial" w:cs="Arial"/>
          <w:sz w:val="14"/>
          <w:szCs w:val="16"/>
        </w:rPr>
        <w:t xml:space="preserve">, </w:t>
      </w:r>
      <w:r w:rsidRPr="00A405E2">
        <w:rPr>
          <w:rFonts w:ascii="Arial" w:hAnsi="Arial" w:cs="Arial"/>
          <w:sz w:val="14"/>
          <w:szCs w:val="16"/>
          <w:u w:val="single"/>
        </w:rPr>
        <w:t>salvo nas hipóteses de expressa dispensa ou diferimento legal</w:t>
      </w:r>
      <w:r w:rsidRPr="00E07603">
        <w:rPr>
          <w:rFonts w:ascii="Arial" w:hAnsi="Arial" w:cs="Arial"/>
          <w:sz w:val="14"/>
          <w:szCs w:val="16"/>
        </w:rPr>
        <w:t xml:space="preserve"> do pagamento. [...] § 2º Nos atos oriundos de reclamações trabalhistas (no interesse do empregado), de executivos fiscais, de execuções nos Juizados Especiais, bem como os atos contemplados pela gratuidade processual ou praticados no interesse de órgãos dispensados de antecipação de custas e emolumentos, o registrador encaminhará ofício ao juízo da causa informando o valor dos emolumentos e da taxa devida ao </w:t>
      </w:r>
      <w:proofErr w:type="spellStart"/>
      <w:r w:rsidRPr="00E07603">
        <w:rPr>
          <w:rFonts w:ascii="Arial" w:hAnsi="Arial" w:cs="Arial"/>
          <w:sz w:val="14"/>
          <w:szCs w:val="16"/>
        </w:rPr>
        <w:t>Funrejus</w:t>
      </w:r>
      <w:proofErr w:type="spellEnd"/>
      <w:r w:rsidRPr="00E07603">
        <w:rPr>
          <w:rFonts w:ascii="Arial" w:hAnsi="Arial" w:cs="Arial"/>
          <w:sz w:val="14"/>
          <w:szCs w:val="16"/>
        </w:rPr>
        <w:t xml:space="preserve"> para oportuna inclusão na conta geral da execução (ver Ofício-Circular nº 102/2008), procedendo ao registro ou à averbação cabível independentemente de prévio recolhimento.”</w:t>
      </w:r>
    </w:p>
  </w:footnote>
  <w:footnote w:id="4">
    <w:p w14:paraId="732424EC" w14:textId="1D84EF15" w:rsidR="008255A1" w:rsidRPr="00E07603" w:rsidRDefault="008255A1" w:rsidP="008255A1">
      <w:pPr>
        <w:pStyle w:val="Textodenotaderodap"/>
        <w:jc w:val="both"/>
        <w:rPr>
          <w:rFonts w:ascii="Arial" w:hAnsi="Arial" w:cs="Arial"/>
          <w:sz w:val="18"/>
        </w:rPr>
      </w:pPr>
      <w:r w:rsidRPr="00E07603">
        <w:rPr>
          <w:rStyle w:val="Refdenotaderodap"/>
          <w:rFonts w:ascii="Arial" w:hAnsi="Arial" w:cs="Arial"/>
          <w:sz w:val="14"/>
          <w:szCs w:val="16"/>
        </w:rPr>
        <w:footnoteRef/>
      </w:r>
      <w:r w:rsidRPr="00E07603">
        <w:rPr>
          <w:rFonts w:ascii="Arial" w:hAnsi="Arial" w:cs="Arial"/>
          <w:sz w:val="14"/>
          <w:szCs w:val="16"/>
        </w:rPr>
        <w:t xml:space="preserve"> Código de Normas do Foro Extrajudicial do TJPR</w:t>
      </w:r>
      <w:r>
        <w:rPr>
          <w:rFonts w:ascii="Arial" w:hAnsi="Arial" w:cs="Arial"/>
          <w:sz w:val="14"/>
          <w:szCs w:val="16"/>
        </w:rPr>
        <w:t xml:space="preserve"> (Provimento nº 249/2013)</w:t>
      </w:r>
      <w:r w:rsidRPr="00E07603">
        <w:rPr>
          <w:rFonts w:ascii="Arial" w:hAnsi="Arial" w:cs="Arial"/>
          <w:sz w:val="14"/>
          <w:szCs w:val="16"/>
        </w:rPr>
        <w:t xml:space="preserve">: “Art. 519. Os títulos e documentos extraídos ou derivados de processo em que a parte interessada tenha obtido o </w:t>
      </w:r>
      <w:r w:rsidRPr="00DA09F8">
        <w:rPr>
          <w:rFonts w:ascii="Arial" w:hAnsi="Arial" w:cs="Arial"/>
          <w:sz w:val="14"/>
          <w:szCs w:val="16"/>
          <w:u w:val="single"/>
        </w:rPr>
        <w:t>benefício da Justiça Gratuita</w:t>
      </w:r>
      <w:r w:rsidRPr="00E07603">
        <w:rPr>
          <w:rFonts w:ascii="Arial" w:hAnsi="Arial" w:cs="Arial"/>
          <w:sz w:val="14"/>
          <w:szCs w:val="16"/>
        </w:rPr>
        <w:t>, nos termos da Lei nº 1.060/50, serão registrados ou averbados sem a antecipação de emolumentos, nos termos do art. 98, § 3º do</w:t>
      </w:r>
      <w:r>
        <w:rPr>
          <w:rFonts w:ascii="Arial" w:hAnsi="Arial" w:cs="Arial"/>
          <w:sz w:val="14"/>
          <w:szCs w:val="16"/>
        </w:rPr>
        <w:t xml:space="preserve"> Código de Processo Civil.</w:t>
      </w:r>
      <w:r w:rsidRPr="00E07603">
        <w:rPr>
          <w:rFonts w:ascii="Arial" w:hAnsi="Arial" w:cs="Arial"/>
          <w:sz w:val="14"/>
          <w:szCs w:val="16"/>
        </w:rPr>
        <w:t>”</w:t>
      </w:r>
      <w:r w:rsidR="00666BFB">
        <w:rPr>
          <w:rFonts w:ascii="Arial" w:hAnsi="Arial" w:cs="Arial"/>
          <w:sz w:val="14"/>
          <w:szCs w:val="16"/>
        </w:rPr>
        <w:t>.</w:t>
      </w:r>
    </w:p>
  </w:footnote>
  <w:footnote w:id="5">
    <w:p w14:paraId="4CA97708" w14:textId="179E6114" w:rsidR="008255A1" w:rsidRPr="00E07603" w:rsidRDefault="008255A1" w:rsidP="008255A1">
      <w:pPr>
        <w:pStyle w:val="Textodenotaderodap"/>
        <w:jc w:val="both"/>
        <w:rPr>
          <w:rFonts w:ascii="Arial" w:hAnsi="Arial" w:cs="Arial"/>
          <w:sz w:val="18"/>
        </w:rPr>
      </w:pPr>
      <w:r w:rsidRPr="00E07603">
        <w:rPr>
          <w:rStyle w:val="Refdenotaderodap"/>
          <w:rFonts w:ascii="Arial" w:hAnsi="Arial" w:cs="Arial"/>
          <w:sz w:val="14"/>
          <w:szCs w:val="16"/>
        </w:rPr>
        <w:footnoteRef/>
      </w:r>
      <w:r w:rsidRPr="00E07603">
        <w:rPr>
          <w:rFonts w:ascii="Arial" w:hAnsi="Arial" w:cs="Arial"/>
          <w:sz w:val="14"/>
          <w:szCs w:val="16"/>
        </w:rPr>
        <w:t xml:space="preserve"> Código de Normas do Foro Extrajudicial do TJPR</w:t>
      </w:r>
      <w:r>
        <w:rPr>
          <w:rFonts w:ascii="Arial" w:hAnsi="Arial" w:cs="Arial"/>
          <w:sz w:val="14"/>
          <w:szCs w:val="16"/>
        </w:rPr>
        <w:t xml:space="preserve"> (Provimento nº 249/2013)</w:t>
      </w:r>
      <w:r w:rsidRPr="00E07603">
        <w:rPr>
          <w:rFonts w:ascii="Arial" w:hAnsi="Arial" w:cs="Arial"/>
          <w:sz w:val="14"/>
          <w:szCs w:val="16"/>
        </w:rPr>
        <w:t xml:space="preserve">: “Art. 555. A inscrição de penhora, arresto ou sequestro ocorridos em processos trabalhistas (no interesse do empregado) ou executivos fiscais serão registrados independentemente do pagamento antecipado dos emolumentos e das receitas devidas ao </w:t>
      </w:r>
      <w:proofErr w:type="spellStart"/>
      <w:r w:rsidRPr="00E07603">
        <w:rPr>
          <w:rFonts w:ascii="Arial" w:hAnsi="Arial" w:cs="Arial"/>
          <w:sz w:val="14"/>
          <w:szCs w:val="16"/>
        </w:rPr>
        <w:t>Funrejus</w:t>
      </w:r>
      <w:proofErr w:type="spellEnd"/>
      <w:r w:rsidRPr="00E07603">
        <w:rPr>
          <w:rFonts w:ascii="Arial" w:hAnsi="Arial" w:cs="Arial"/>
          <w:sz w:val="14"/>
          <w:szCs w:val="16"/>
        </w:rPr>
        <w:t xml:space="preserve">, devendo o registrador, nesse caso, solicitar a oportuna inclusão das despesas na conta de liquidação. </w:t>
      </w:r>
      <w:r>
        <w:rPr>
          <w:rFonts w:ascii="Arial" w:hAnsi="Arial" w:cs="Arial"/>
          <w:sz w:val="14"/>
          <w:szCs w:val="16"/>
        </w:rPr>
        <w:t>[...]</w:t>
      </w:r>
      <w:r w:rsidRPr="00E07603">
        <w:rPr>
          <w:rFonts w:ascii="Arial" w:hAnsi="Arial" w:cs="Arial"/>
          <w:sz w:val="14"/>
          <w:szCs w:val="16"/>
        </w:rPr>
        <w:t>.</w:t>
      </w:r>
      <w:r>
        <w:rPr>
          <w:rFonts w:ascii="Arial" w:hAnsi="Arial" w:cs="Arial"/>
          <w:sz w:val="14"/>
          <w:szCs w:val="16"/>
        </w:rPr>
        <w:t xml:space="preserve"> </w:t>
      </w:r>
      <w:r w:rsidRPr="00C91738">
        <w:rPr>
          <w:rFonts w:ascii="Arial" w:hAnsi="Arial" w:cs="Arial"/>
          <w:sz w:val="14"/>
          <w:szCs w:val="16"/>
        </w:rPr>
        <w:t xml:space="preserve">§ 3º O diferimento previsto neste artigo </w:t>
      </w:r>
      <w:r w:rsidRPr="00DA09F8">
        <w:rPr>
          <w:rFonts w:ascii="Arial" w:hAnsi="Arial" w:cs="Arial"/>
          <w:sz w:val="14"/>
          <w:szCs w:val="16"/>
          <w:u w:val="single"/>
        </w:rPr>
        <w:t>não abrange as averbações de cancelamento das constrições</w:t>
      </w:r>
      <w:r w:rsidRPr="00C91738">
        <w:rPr>
          <w:rFonts w:ascii="Arial" w:hAnsi="Arial" w:cs="Arial"/>
          <w:sz w:val="14"/>
          <w:szCs w:val="16"/>
        </w:rPr>
        <w:t>, devendo o interessado arcar com as custas decorrentes do cancelamento, bem como do próprio registro/averbação, pelos valores vigentes à época do pagamento, observado o disposto no artigo 491, II, deste Código de Normas.</w:t>
      </w:r>
      <w:r w:rsidR="00A4049A" w:rsidRPr="00A4049A">
        <w:rPr>
          <w:rFonts w:ascii="Arial" w:hAnsi="Arial" w:cs="Arial"/>
          <w:sz w:val="14"/>
          <w:szCs w:val="16"/>
        </w:rPr>
        <w:t xml:space="preserve"> </w:t>
      </w:r>
      <w:r w:rsidR="00A4049A" w:rsidRPr="00C91738">
        <w:rPr>
          <w:rFonts w:ascii="Arial" w:hAnsi="Arial" w:cs="Arial"/>
          <w:sz w:val="14"/>
          <w:szCs w:val="16"/>
        </w:rPr>
        <w:t xml:space="preserve">§ 4º Também se aplica o disposto nos itens anteriores às constrições judiciais oriundas de </w:t>
      </w:r>
      <w:r w:rsidR="00A4049A" w:rsidRPr="00171662">
        <w:rPr>
          <w:rFonts w:ascii="Arial" w:hAnsi="Arial" w:cs="Arial"/>
          <w:sz w:val="14"/>
          <w:szCs w:val="16"/>
          <w:u w:val="single"/>
        </w:rPr>
        <w:t>ações propostas pelo Ministério Público ou por entes públicos</w:t>
      </w:r>
      <w:r w:rsidR="00A4049A" w:rsidRPr="00C91738">
        <w:rPr>
          <w:rFonts w:ascii="Arial" w:hAnsi="Arial" w:cs="Arial"/>
          <w:sz w:val="14"/>
          <w:szCs w:val="16"/>
        </w:rPr>
        <w:t>, a fim de que sejam pagos ao final da ação quando a parte requerida for vencida e não goze de isenção de emolumentos</w:t>
      </w:r>
      <w:r w:rsidR="00A4049A">
        <w:rPr>
          <w:rFonts w:ascii="Arial" w:hAnsi="Arial" w:cs="Arial"/>
          <w:sz w:val="14"/>
          <w:szCs w:val="16"/>
        </w:rPr>
        <w:t>.</w:t>
      </w:r>
      <w:r w:rsidRPr="00E07603">
        <w:rPr>
          <w:rFonts w:ascii="Arial" w:hAnsi="Arial" w:cs="Arial"/>
          <w:sz w:val="14"/>
          <w:szCs w:val="16"/>
        </w:rPr>
        <w:t>”</w:t>
      </w:r>
      <w:r w:rsidR="00666BFB">
        <w:rPr>
          <w:rFonts w:ascii="Arial" w:hAnsi="Arial" w:cs="Arial"/>
          <w:sz w:val="14"/>
          <w:szCs w:val="16"/>
        </w:rPr>
        <w:t>.</w:t>
      </w:r>
    </w:p>
  </w:footnote>
  <w:footnote w:id="6">
    <w:p w14:paraId="1C484D25" w14:textId="31FEF836" w:rsidR="008255A1" w:rsidRPr="00E07603" w:rsidRDefault="008255A1" w:rsidP="008255A1">
      <w:pPr>
        <w:pStyle w:val="Textodenotaderodap"/>
        <w:jc w:val="both"/>
        <w:rPr>
          <w:rFonts w:ascii="Arial" w:hAnsi="Arial" w:cs="Arial"/>
          <w:sz w:val="18"/>
        </w:rPr>
      </w:pPr>
      <w:r w:rsidRPr="00E07603">
        <w:rPr>
          <w:rStyle w:val="Refdenotaderodap"/>
          <w:rFonts w:ascii="Arial" w:hAnsi="Arial" w:cs="Arial"/>
          <w:sz w:val="14"/>
          <w:szCs w:val="16"/>
        </w:rPr>
        <w:footnoteRef/>
      </w:r>
      <w:r w:rsidRPr="00E07603">
        <w:rPr>
          <w:rFonts w:ascii="Arial" w:hAnsi="Arial" w:cs="Arial"/>
          <w:sz w:val="14"/>
          <w:szCs w:val="16"/>
        </w:rPr>
        <w:t xml:space="preserve"> Código de Normas do Foro Extrajudicial do TJPR</w:t>
      </w:r>
      <w:r>
        <w:rPr>
          <w:rFonts w:ascii="Arial" w:hAnsi="Arial" w:cs="Arial"/>
          <w:sz w:val="14"/>
          <w:szCs w:val="16"/>
        </w:rPr>
        <w:t xml:space="preserve"> (Provimento nº 249/2013)</w:t>
      </w:r>
      <w:r w:rsidRPr="00E07603">
        <w:rPr>
          <w:rFonts w:ascii="Arial" w:hAnsi="Arial" w:cs="Arial"/>
          <w:sz w:val="14"/>
          <w:szCs w:val="16"/>
        </w:rPr>
        <w:t xml:space="preserve">: “Art. 555. A inscrição de penhora, arresto ou sequestro ocorridos em processos trabalhistas (no interesse do empregado) ou </w:t>
      </w:r>
      <w:r w:rsidRPr="00DA09F8">
        <w:rPr>
          <w:rFonts w:ascii="Arial" w:hAnsi="Arial" w:cs="Arial"/>
          <w:sz w:val="14"/>
          <w:szCs w:val="16"/>
          <w:u w:val="single"/>
        </w:rPr>
        <w:t>executivos fiscais</w:t>
      </w:r>
      <w:r w:rsidRPr="00E07603">
        <w:rPr>
          <w:rFonts w:ascii="Arial" w:hAnsi="Arial" w:cs="Arial"/>
          <w:sz w:val="14"/>
          <w:szCs w:val="16"/>
        </w:rPr>
        <w:t xml:space="preserve"> serão registrados independentemente do pagamento antecipado dos emolumentos e das receitas devidas ao </w:t>
      </w:r>
      <w:proofErr w:type="spellStart"/>
      <w:r w:rsidRPr="00E07603">
        <w:rPr>
          <w:rFonts w:ascii="Arial" w:hAnsi="Arial" w:cs="Arial"/>
          <w:sz w:val="14"/>
          <w:szCs w:val="16"/>
        </w:rPr>
        <w:t>Funrejus</w:t>
      </w:r>
      <w:proofErr w:type="spellEnd"/>
      <w:r w:rsidRPr="00E07603">
        <w:rPr>
          <w:rFonts w:ascii="Arial" w:hAnsi="Arial" w:cs="Arial"/>
          <w:sz w:val="14"/>
          <w:szCs w:val="16"/>
        </w:rPr>
        <w:t xml:space="preserve">, devendo o registrador, nesse caso, solicitar a oportuna inclusão das despesas na conta de liquidação. </w:t>
      </w:r>
      <w:r>
        <w:rPr>
          <w:rFonts w:ascii="Arial" w:hAnsi="Arial" w:cs="Arial"/>
          <w:sz w:val="14"/>
          <w:szCs w:val="16"/>
        </w:rPr>
        <w:t xml:space="preserve">[...] </w:t>
      </w:r>
      <w:r w:rsidR="001973FB" w:rsidRPr="00C91738">
        <w:rPr>
          <w:rFonts w:ascii="Arial" w:hAnsi="Arial" w:cs="Arial"/>
          <w:sz w:val="14"/>
          <w:szCs w:val="16"/>
        </w:rPr>
        <w:t xml:space="preserve">§ 3º O diferimento previsto neste artigo </w:t>
      </w:r>
      <w:r w:rsidR="001973FB" w:rsidRPr="00DA09F8">
        <w:rPr>
          <w:rFonts w:ascii="Arial" w:hAnsi="Arial" w:cs="Arial"/>
          <w:sz w:val="14"/>
          <w:szCs w:val="16"/>
          <w:u w:val="single"/>
        </w:rPr>
        <w:t>não abrange as averbações de cancelamento das constrições</w:t>
      </w:r>
      <w:r w:rsidR="001973FB" w:rsidRPr="00C91738">
        <w:rPr>
          <w:rFonts w:ascii="Arial" w:hAnsi="Arial" w:cs="Arial"/>
          <w:sz w:val="14"/>
          <w:szCs w:val="16"/>
        </w:rPr>
        <w:t>, devendo o interessado arcar com as custas decorrentes do cancelamento, bem como do próprio registro/averbação, pelos valores vigentes à época do pagamento, observado o disposto no artigo 491, II, deste Código de Normas</w:t>
      </w:r>
      <w:r w:rsidRPr="00E07603">
        <w:rPr>
          <w:rFonts w:ascii="Arial" w:hAnsi="Arial" w:cs="Arial"/>
          <w:sz w:val="14"/>
          <w:szCs w:val="16"/>
        </w:rPr>
        <w:t>.”</w:t>
      </w:r>
      <w:r w:rsidR="00666BFB">
        <w:rPr>
          <w:rFonts w:ascii="Arial" w:hAnsi="Arial" w:cs="Arial"/>
          <w:sz w:val="14"/>
          <w:szCs w:val="16"/>
        </w:rPr>
        <w:t>.</w:t>
      </w:r>
    </w:p>
  </w:footnote>
  <w:footnote w:id="7">
    <w:p w14:paraId="1E371566" w14:textId="71BDC139" w:rsidR="001973FB" w:rsidRPr="00E07603" w:rsidRDefault="001973FB" w:rsidP="001973FB">
      <w:pPr>
        <w:pStyle w:val="Textodenotaderodap"/>
        <w:jc w:val="both"/>
        <w:rPr>
          <w:rFonts w:ascii="Arial" w:hAnsi="Arial" w:cs="Arial"/>
          <w:sz w:val="18"/>
        </w:rPr>
      </w:pPr>
      <w:r w:rsidRPr="00E07603">
        <w:rPr>
          <w:rStyle w:val="Refdenotaderodap"/>
          <w:rFonts w:ascii="Arial" w:hAnsi="Arial" w:cs="Arial"/>
          <w:sz w:val="14"/>
          <w:szCs w:val="16"/>
        </w:rPr>
        <w:footnoteRef/>
      </w:r>
      <w:r w:rsidRPr="00E07603">
        <w:rPr>
          <w:rFonts w:ascii="Arial" w:hAnsi="Arial" w:cs="Arial"/>
          <w:sz w:val="14"/>
          <w:szCs w:val="16"/>
        </w:rPr>
        <w:t xml:space="preserve"> Código de Normas do Foro Extrajudicial do TJPR</w:t>
      </w:r>
      <w:r>
        <w:rPr>
          <w:rFonts w:ascii="Arial" w:hAnsi="Arial" w:cs="Arial"/>
          <w:sz w:val="14"/>
          <w:szCs w:val="16"/>
        </w:rPr>
        <w:t xml:space="preserve"> (Provimento nº 249/2013)</w:t>
      </w:r>
      <w:r w:rsidRPr="00E07603">
        <w:rPr>
          <w:rFonts w:ascii="Arial" w:hAnsi="Arial" w:cs="Arial"/>
          <w:sz w:val="14"/>
          <w:szCs w:val="16"/>
        </w:rPr>
        <w:t xml:space="preserve">: “Art. 555. A inscrição de penhora, arresto ou sequestro ocorridos em processos trabalhistas (no interesse do empregado) ou executivos fiscais serão registrados independentemente do pagamento antecipado dos emolumentos e das receitas devidas ao </w:t>
      </w:r>
      <w:proofErr w:type="spellStart"/>
      <w:r w:rsidRPr="00E07603">
        <w:rPr>
          <w:rFonts w:ascii="Arial" w:hAnsi="Arial" w:cs="Arial"/>
          <w:sz w:val="14"/>
          <w:szCs w:val="16"/>
        </w:rPr>
        <w:t>Funrejus</w:t>
      </w:r>
      <w:proofErr w:type="spellEnd"/>
      <w:r w:rsidRPr="00E07603">
        <w:rPr>
          <w:rFonts w:ascii="Arial" w:hAnsi="Arial" w:cs="Arial"/>
          <w:sz w:val="14"/>
          <w:szCs w:val="16"/>
        </w:rPr>
        <w:t xml:space="preserve">, devendo o registrador, nesse caso, solicitar a oportuna inclusão das despesas na conta de liquidação. </w:t>
      </w:r>
      <w:r w:rsidR="00A4049A">
        <w:rPr>
          <w:rFonts w:ascii="Arial" w:hAnsi="Arial" w:cs="Arial"/>
          <w:sz w:val="14"/>
          <w:szCs w:val="16"/>
        </w:rPr>
        <w:t>[...]</w:t>
      </w:r>
      <w:r w:rsidRPr="00E07603">
        <w:rPr>
          <w:rFonts w:ascii="Arial" w:hAnsi="Arial" w:cs="Arial"/>
          <w:sz w:val="14"/>
          <w:szCs w:val="16"/>
        </w:rPr>
        <w:t xml:space="preserve"> § 2º Aplica-se o disposto nos itens anteriores ao registro das constrições determinadas em </w:t>
      </w:r>
      <w:r w:rsidRPr="009062C1">
        <w:rPr>
          <w:rFonts w:ascii="Arial" w:hAnsi="Arial" w:cs="Arial"/>
          <w:sz w:val="14"/>
          <w:szCs w:val="16"/>
          <w:u w:val="single"/>
        </w:rPr>
        <w:t>processos em trâmite nos Juizados Especiais</w:t>
      </w:r>
      <w:r w:rsidRPr="00C91738">
        <w:rPr>
          <w:rFonts w:ascii="Arial" w:hAnsi="Arial" w:cs="Arial"/>
          <w:sz w:val="14"/>
          <w:szCs w:val="16"/>
        </w:rPr>
        <w:t>.</w:t>
      </w:r>
      <w:r w:rsidRPr="00E07603">
        <w:rPr>
          <w:rFonts w:ascii="Arial" w:hAnsi="Arial" w:cs="Arial"/>
          <w:sz w:val="14"/>
          <w:szCs w:val="16"/>
        </w:rPr>
        <w:t>”</w:t>
      </w:r>
      <w:r w:rsidR="00666BFB">
        <w:rPr>
          <w:rFonts w:ascii="Arial" w:hAnsi="Arial" w:cs="Arial"/>
          <w:sz w:val="14"/>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86"/>
    <w:rsid w:val="00063524"/>
    <w:rsid w:val="0007219F"/>
    <w:rsid w:val="00085994"/>
    <w:rsid w:val="000E7E0F"/>
    <w:rsid w:val="001973FB"/>
    <w:rsid w:val="0020256C"/>
    <w:rsid w:val="00221857"/>
    <w:rsid w:val="0026412A"/>
    <w:rsid w:val="002821DF"/>
    <w:rsid w:val="002C079E"/>
    <w:rsid w:val="004747FE"/>
    <w:rsid w:val="004A53A8"/>
    <w:rsid w:val="004B6523"/>
    <w:rsid w:val="004E0306"/>
    <w:rsid w:val="00503B02"/>
    <w:rsid w:val="00666BFB"/>
    <w:rsid w:val="006B1C94"/>
    <w:rsid w:val="00744E35"/>
    <w:rsid w:val="00750B78"/>
    <w:rsid w:val="0078193E"/>
    <w:rsid w:val="007A014C"/>
    <w:rsid w:val="008255A1"/>
    <w:rsid w:val="00833886"/>
    <w:rsid w:val="008775E2"/>
    <w:rsid w:val="008F3E5B"/>
    <w:rsid w:val="009106A6"/>
    <w:rsid w:val="00916750"/>
    <w:rsid w:val="00944B51"/>
    <w:rsid w:val="0095158F"/>
    <w:rsid w:val="009A5B97"/>
    <w:rsid w:val="00A4049A"/>
    <w:rsid w:val="00A75D72"/>
    <w:rsid w:val="00A958C8"/>
    <w:rsid w:val="00C4091A"/>
    <w:rsid w:val="00C77CA1"/>
    <w:rsid w:val="00CA0C35"/>
    <w:rsid w:val="00CC601B"/>
    <w:rsid w:val="00D70113"/>
    <w:rsid w:val="00DA09F8"/>
    <w:rsid w:val="00E05633"/>
    <w:rsid w:val="00E209C5"/>
    <w:rsid w:val="00E94CC8"/>
    <w:rsid w:val="00EE4EE8"/>
    <w:rsid w:val="00F30C75"/>
    <w:rsid w:val="00FC1E2A"/>
    <w:rsid w:val="4FB613B9"/>
    <w:rsid w:val="5CC6B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C67B"/>
  <w15:chartTrackingRefBased/>
  <w15:docId w15:val="{39B14D65-B194-4D50-B60B-B18F47B5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A014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A014C"/>
    <w:rPr>
      <w:color w:val="0000FF"/>
      <w:u w:val="single"/>
    </w:rPr>
  </w:style>
  <w:style w:type="paragraph" w:customStyle="1" w:styleId="tptexto0">
    <w:name w:val="tptexto0"/>
    <w:basedOn w:val="Normal"/>
    <w:rsid w:val="007A014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7A014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8F3E5B"/>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F3E5B"/>
    <w:rPr>
      <w:sz w:val="20"/>
      <w:szCs w:val="20"/>
    </w:rPr>
  </w:style>
  <w:style w:type="character" w:styleId="Refdenotaderodap">
    <w:name w:val="footnote reference"/>
    <w:basedOn w:val="Fontepargpadro"/>
    <w:uiPriority w:val="99"/>
    <w:semiHidden/>
    <w:unhideWhenUsed/>
    <w:rsid w:val="008F3E5B"/>
    <w:rPr>
      <w:vertAlign w:val="superscript"/>
    </w:rPr>
  </w:style>
  <w:style w:type="character" w:styleId="Refdecomentrio">
    <w:name w:val="annotation reference"/>
    <w:basedOn w:val="Fontepargpadro"/>
    <w:uiPriority w:val="99"/>
    <w:semiHidden/>
    <w:unhideWhenUsed/>
    <w:rsid w:val="008255A1"/>
    <w:rPr>
      <w:sz w:val="16"/>
      <w:szCs w:val="16"/>
    </w:rPr>
  </w:style>
  <w:style w:type="paragraph" w:styleId="Textodecomentrio">
    <w:name w:val="annotation text"/>
    <w:basedOn w:val="Normal"/>
    <w:link w:val="TextodecomentrioChar"/>
    <w:uiPriority w:val="99"/>
    <w:semiHidden/>
    <w:unhideWhenUsed/>
    <w:rsid w:val="008255A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255A1"/>
    <w:rPr>
      <w:sz w:val="20"/>
      <w:szCs w:val="20"/>
    </w:rPr>
  </w:style>
  <w:style w:type="paragraph" w:styleId="Textodebalo">
    <w:name w:val="Balloon Text"/>
    <w:basedOn w:val="Normal"/>
    <w:link w:val="TextodebaloChar"/>
    <w:uiPriority w:val="99"/>
    <w:semiHidden/>
    <w:unhideWhenUsed/>
    <w:rsid w:val="008255A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255A1"/>
    <w:rPr>
      <w:rFonts w:ascii="Segoe UI" w:hAnsi="Segoe UI" w:cs="Segoe UI"/>
      <w:sz w:val="18"/>
      <w:szCs w:val="18"/>
    </w:rPr>
  </w:style>
  <w:style w:type="paragraph" w:styleId="Reviso">
    <w:name w:val="Revision"/>
    <w:hidden/>
    <w:uiPriority w:val="99"/>
    <w:semiHidden/>
    <w:rsid w:val="002C0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5888">
      <w:bodyDiv w:val="1"/>
      <w:marLeft w:val="0"/>
      <w:marRight w:val="0"/>
      <w:marTop w:val="0"/>
      <w:marBottom w:val="0"/>
      <w:divBdr>
        <w:top w:val="none" w:sz="0" w:space="0" w:color="auto"/>
        <w:left w:val="none" w:sz="0" w:space="0" w:color="auto"/>
        <w:bottom w:val="none" w:sz="0" w:space="0" w:color="auto"/>
        <w:right w:val="none" w:sz="0" w:space="0" w:color="auto"/>
      </w:divBdr>
    </w:div>
    <w:div w:id="1648775474">
      <w:bodyDiv w:val="1"/>
      <w:marLeft w:val="0"/>
      <w:marRight w:val="0"/>
      <w:marTop w:val="0"/>
      <w:marBottom w:val="0"/>
      <w:divBdr>
        <w:top w:val="none" w:sz="0" w:space="0" w:color="auto"/>
        <w:left w:val="none" w:sz="0" w:space="0" w:color="auto"/>
        <w:bottom w:val="none" w:sz="0" w:space="0" w:color="auto"/>
        <w:right w:val="none" w:sz="0" w:space="0" w:color="auto"/>
      </w:divBdr>
    </w:div>
    <w:div w:id="1754358335">
      <w:bodyDiv w:val="1"/>
      <w:marLeft w:val="0"/>
      <w:marRight w:val="0"/>
      <w:marTop w:val="0"/>
      <w:marBottom w:val="0"/>
      <w:divBdr>
        <w:top w:val="none" w:sz="0" w:space="0" w:color="auto"/>
        <w:left w:val="none" w:sz="0" w:space="0" w:color="auto"/>
        <w:bottom w:val="none" w:sz="0" w:space="0" w:color="auto"/>
        <w:right w:val="none" w:sz="0" w:space="0" w:color="auto"/>
      </w:divBdr>
      <w:divsChild>
        <w:div w:id="1161460345">
          <w:marLeft w:val="0"/>
          <w:marRight w:val="0"/>
          <w:marTop w:val="0"/>
          <w:marBottom w:val="0"/>
          <w:divBdr>
            <w:top w:val="none" w:sz="0" w:space="0" w:color="auto"/>
            <w:left w:val="none" w:sz="0" w:space="0" w:color="auto"/>
            <w:bottom w:val="none" w:sz="0" w:space="0" w:color="auto"/>
            <w:right w:val="none" w:sz="0" w:space="0" w:color="auto"/>
          </w:divBdr>
        </w:div>
        <w:div w:id="707217636">
          <w:marLeft w:val="0"/>
          <w:marRight w:val="0"/>
          <w:marTop w:val="0"/>
          <w:marBottom w:val="0"/>
          <w:divBdr>
            <w:top w:val="none" w:sz="0" w:space="0" w:color="auto"/>
            <w:left w:val="none" w:sz="0" w:space="0" w:color="auto"/>
            <w:bottom w:val="none" w:sz="0" w:space="0" w:color="auto"/>
            <w:right w:val="none" w:sz="0" w:space="0" w:color="auto"/>
          </w:divBdr>
        </w:div>
        <w:div w:id="1625499938">
          <w:marLeft w:val="0"/>
          <w:marRight w:val="0"/>
          <w:marTop w:val="0"/>
          <w:marBottom w:val="0"/>
          <w:divBdr>
            <w:top w:val="none" w:sz="0" w:space="0" w:color="auto"/>
            <w:left w:val="none" w:sz="0" w:space="0" w:color="auto"/>
            <w:bottom w:val="none" w:sz="0" w:space="0" w:color="auto"/>
            <w:right w:val="none" w:sz="0" w:space="0" w:color="auto"/>
          </w:divBdr>
        </w:div>
        <w:div w:id="426076257">
          <w:marLeft w:val="0"/>
          <w:marRight w:val="0"/>
          <w:marTop w:val="0"/>
          <w:marBottom w:val="0"/>
          <w:divBdr>
            <w:top w:val="none" w:sz="0" w:space="0" w:color="auto"/>
            <w:left w:val="none" w:sz="0" w:space="0" w:color="auto"/>
            <w:bottom w:val="none" w:sz="0" w:space="0" w:color="auto"/>
            <w:right w:val="none" w:sz="0" w:space="0" w:color="auto"/>
          </w:divBdr>
        </w:div>
        <w:div w:id="62877427">
          <w:marLeft w:val="0"/>
          <w:marRight w:val="0"/>
          <w:marTop w:val="0"/>
          <w:marBottom w:val="0"/>
          <w:divBdr>
            <w:top w:val="none" w:sz="0" w:space="0" w:color="auto"/>
            <w:left w:val="none" w:sz="0" w:space="0" w:color="auto"/>
            <w:bottom w:val="none" w:sz="0" w:space="0" w:color="auto"/>
            <w:right w:val="none" w:sz="0" w:space="0" w:color="auto"/>
          </w:divBdr>
        </w:div>
        <w:div w:id="441727377">
          <w:marLeft w:val="0"/>
          <w:marRight w:val="0"/>
          <w:marTop w:val="0"/>
          <w:marBottom w:val="0"/>
          <w:divBdr>
            <w:top w:val="none" w:sz="0" w:space="0" w:color="auto"/>
            <w:left w:val="none" w:sz="0" w:space="0" w:color="auto"/>
            <w:bottom w:val="none" w:sz="0" w:space="0" w:color="auto"/>
            <w:right w:val="none" w:sz="0" w:space="0" w:color="auto"/>
          </w:divBdr>
        </w:div>
        <w:div w:id="179439804">
          <w:marLeft w:val="0"/>
          <w:marRight w:val="0"/>
          <w:marTop w:val="0"/>
          <w:marBottom w:val="0"/>
          <w:divBdr>
            <w:top w:val="none" w:sz="0" w:space="0" w:color="auto"/>
            <w:left w:val="none" w:sz="0" w:space="0" w:color="auto"/>
            <w:bottom w:val="none" w:sz="0" w:space="0" w:color="auto"/>
            <w:right w:val="none" w:sz="0" w:space="0" w:color="auto"/>
          </w:divBdr>
        </w:div>
        <w:div w:id="569270949">
          <w:marLeft w:val="0"/>
          <w:marRight w:val="0"/>
          <w:marTop w:val="0"/>
          <w:marBottom w:val="0"/>
          <w:divBdr>
            <w:top w:val="none" w:sz="0" w:space="0" w:color="auto"/>
            <w:left w:val="none" w:sz="0" w:space="0" w:color="auto"/>
            <w:bottom w:val="none" w:sz="0" w:space="0" w:color="auto"/>
            <w:right w:val="none" w:sz="0" w:space="0" w:color="auto"/>
          </w:divBdr>
        </w:div>
        <w:div w:id="1457020678">
          <w:marLeft w:val="0"/>
          <w:marRight w:val="0"/>
          <w:marTop w:val="0"/>
          <w:marBottom w:val="0"/>
          <w:divBdr>
            <w:top w:val="none" w:sz="0" w:space="0" w:color="auto"/>
            <w:left w:val="none" w:sz="0" w:space="0" w:color="auto"/>
            <w:bottom w:val="none" w:sz="0" w:space="0" w:color="auto"/>
            <w:right w:val="none" w:sz="0" w:space="0" w:color="auto"/>
          </w:divBdr>
          <w:divsChild>
            <w:div w:id="2078358312">
              <w:marLeft w:val="0"/>
              <w:marRight w:val="0"/>
              <w:marTop w:val="0"/>
              <w:marBottom w:val="0"/>
              <w:divBdr>
                <w:top w:val="none" w:sz="0" w:space="0" w:color="auto"/>
                <w:left w:val="none" w:sz="0" w:space="0" w:color="auto"/>
                <w:bottom w:val="none" w:sz="0" w:space="0" w:color="auto"/>
                <w:right w:val="none" w:sz="0" w:space="0" w:color="auto"/>
              </w:divBdr>
            </w:div>
            <w:div w:id="207228828">
              <w:marLeft w:val="0"/>
              <w:marRight w:val="0"/>
              <w:marTop w:val="0"/>
              <w:marBottom w:val="0"/>
              <w:divBdr>
                <w:top w:val="none" w:sz="0" w:space="0" w:color="auto"/>
                <w:left w:val="none" w:sz="0" w:space="0" w:color="auto"/>
                <w:bottom w:val="none" w:sz="0" w:space="0" w:color="auto"/>
                <w:right w:val="none" w:sz="0" w:space="0" w:color="auto"/>
              </w:divBdr>
            </w:div>
            <w:div w:id="1551112830">
              <w:marLeft w:val="0"/>
              <w:marRight w:val="0"/>
              <w:marTop w:val="0"/>
              <w:marBottom w:val="0"/>
              <w:divBdr>
                <w:top w:val="none" w:sz="0" w:space="0" w:color="auto"/>
                <w:left w:val="none" w:sz="0" w:space="0" w:color="auto"/>
                <w:bottom w:val="none" w:sz="0" w:space="0" w:color="auto"/>
                <w:right w:val="none" w:sz="0" w:space="0" w:color="auto"/>
              </w:divBdr>
            </w:div>
          </w:divsChild>
        </w:div>
        <w:div w:id="52197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F2A45C2C6503342A5068DFB1C8111BB" ma:contentTypeVersion="12" ma:contentTypeDescription="Crie um novo documento." ma:contentTypeScope="" ma:versionID="1a0ea09959ddceb0f37751b2c979dc92">
  <xsd:schema xmlns:xsd="http://www.w3.org/2001/XMLSchema" xmlns:xs="http://www.w3.org/2001/XMLSchema" xmlns:p="http://schemas.microsoft.com/office/2006/metadata/properties" xmlns:ns2="63ccb0ab-99c2-410e-ab92-bfe50cfff847" xmlns:ns3="763c842a-fc11-4959-a685-c57224465708" targetNamespace="http://schemas.microsoft.com/office/2006/metadata/properties" ma:root="true" ma:fieldsID="1f5eba8973ce3a3a0b9e6fc9e7404eb8" ns2:_="" ns3:_="">
    <xsd:import namespace="63ccb0ab-99c2-410e-ab92-bfe50cfff847"/>
    <xsd:import namespace="763c842a-fc11-4959-a685-c572244657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b0ab-99c2-410e-ab92-bfe50cff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c842a-fc11-4959-a685-c57224465708"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31ED9-29C6-43D8-A127-7E6E1558BE55}">
  <ds:schemaRefs>
    <ds:schemaRef ds:uri="http://schemas.microsoft.com/sharepoint/v3/contenttype/forms"/>
  </ds:schemaRefs>
</ds:datastoreItem>
</file>

<file path=customXml/itemProps2.xml><?xml version="1.0" encoding="utf-8"?>
<ds:datastoreItem xmlns:ds="http://schemas.openxmlformats.org/officeDocument/2006/customXml" ds:itemID="{BFEE1E57-F893-48A4-AC7C-C558E4AE8A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3D6387-9C1C-4B35-BB60-D1637255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cb0ab-99c2-410e-ab92-bfe50cfff847"/>
    <ds:schemaRef ds:uri="763c842a-fc11-4959-a685-c57224465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FCEDA-8846-41D5-A5FD-E2AA0D69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350</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Tribunal de Justiça do Estado do Paraná</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05577983290@tjpr.jus.br</dc:creator>
  <cp:keywords/>
  <dc:description/>
  <cp:lastModifiedBy>Carolina Foltran Miranda</cp:lastModifiedBy>
  <cp:revision>21</cp:revision>
  <dcterms:created xsi:type="dcterms:W3CDTF">2021-11-03T18:24:00Z</dcterms:created>
  <dcterms:modified xsi:type="dcterms:W3CDTF">2023-07-04T15:39:00Z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0x0101005F2A45C2C6503342A5068DFB1C8111BB</vt:lpwstr>
  </property>
</Properties>
</file>