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2CF02" w14:textId="77777777" w:rsidR="006B57F1" w:rsidRPr="00B62F8E" w:rsidRDefault="006B57F1" w:rsidP="006B5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71BC3778" w14:textId="77777777" w:rsidR="006B57F1" w:rsidRPr="00B62F8E" w:rsidRDefault="006B57F1" w:rsidP="006B5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5CA8FC31" w14:textId="77777777" w:rsidR="006B57F1" w:rsidRPr="00B62F8E" w:rsidRDefault="006B57F1" w:rsidP="006B57F1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</w:p>
    <w:p w14:paraId="59DFB88B" w14:textId="77777777" w:rsidR="006B57F1" w:rsidRPr="00B62F8E" w:rsidRDefault="006B57F1" w:rsidP="006B57F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Tipo do Mandado: $!mandado.getTipoMandadoOficialJustica().getDescricao()</w:t>
      </w:r>
    </w:p>
    <w:p w14:paraId="76B7970B" w14:textId="77777777" w:rsidR="006B57F1" w:rsidRPr="00B62F8E" w:rsidRDefault="006B57F1" w:rsidP="006B57F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</w:t>
      </w:r>
      <w:bookmarkStart w:id="2" w:name="_GoBack"/>
      <w:bookmarkEnd w:id="2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ente: $mandadoUrgenteFormatado #if( $!mandado.getTipoUrgenciaMandado().getDescricao() != "" )( $!mandado.getTipoUrgenciaMandado().getDescricao() )#end</w:t>
      </w:r>
    </w:p>
    <w:p w14:paraId="7C2A6612" w14:textId="77777777" w:rsidR="006B57F1" w:rsidRPr="00B62F8E" w:rsidRDefault="006B57F1" w:rsidP="006B57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bookmarkEnd w:id="0"/>
    <w:p w14:paraId="148734E3" w14:textId="019AC218" w:rsidR="002C3B94" w:rsidRPr="002F59D9" w:rsidRDefault="006B57F1" w:rsidP="006B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79CC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B62F8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$cumprimentoCartorio.getDescrevePrazo()#end</w:t>
      </w:r>
    </w:p>
    <w:bookmarkEnd w:id="1"/>
    <w:p w14:paraId="22049593" w14:textId="77777777" w:rsidR="002C3B94" w:rsidRPr="00AD79CC" w:rsidRDefault="002C3B94" w:rsidP="002C3B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EAE938" w14:textId="1AB6CE49" w:rsidR="002C3B94" w:rsidRDefault="002C3B94" w:rsidP="002C3B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>O(A) Juiz(a) de Direito $!autos.getJuizResponsavel().getNome(), d</w:t>
      </w:r>
      <w:r w:rsidR="00FA267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6301C163" w14:textId="77777777" w:rsidR="002C3B94" w:rsidRPr="00AD79CC" w:rsidRDefault="002C3B94" w:rsidP="002C3B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0E1317" w14:textId="350FBFE8" w:rsidR="002C3B94" w:rsidRDefault="002C3B94" w:rsidP="002C3B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Oficial(a)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841FD26" w14:textId="77777777" w:rsidR="00BB7540" w:rsidRDefault="00BB7540" w:rsidP="002C3B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2B7A27" w14:textId="4ADDADAF" w:rsidR="007E05F1" w:rsidRDefault="002C3B94" w:rsidP="007E05F1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6E91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346E91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PENHORA</w:t>
      </w:r>
      <w:r w:rsidRPr="007E05F1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7E05F1" w:rsidRPr="00364232">
        <w:rPr>
          <w:rFonts w:ascii="Arial" w:eastAsia="Times New Roman" w:hAnsi="Arial" w:cs="Arial"/>
          <w:sz w:val="18"/>
          <w:szCs w:val="18"/>
          <w:lang w:eastAsia="pt-BR"/>
        </w:rPr>
        <w:t>do imóvel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 de matrícula nº </w:t>
      </w:r>
      <w:r w:rsidR="007E05F1" w:rsidRPr="005A195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</w:t>
      </w:r>
      <w:r w:rsidR="00FA267C" w:rsidRPr="00E24D58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 registrado </w:t>
      </w:r>
      <w:r w:rsidR="004B3FF4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7E05F1" w:rsidRPr="005A19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º Serviço de Registro de Imóveis da Comarca de </w:t>
      </w:r>
      <w:r w:rsidR="007E05F1" w:rsidRPr="005A195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</w:t>
      </w:r>
      <w:r w:rsidR="007E05F1">
        <w:rPr>
          <w:rFonts w:ascii="Arial" w:eastAsia="Times New Roman" w:hAnsi="Arial" w:cs="Arial"/>
          <w:sz w:val="18"/>
          <w:szCs w:val="18"/>
          <w:lang w:eastAsia="pt-BR"/>
        </w:rPr>
        <w:t>, e de propriedade de $parteSelecionadaDadosBasicos</w:t>
      </w:r>
      <w:r w:rsidR="007E05F1" w:rsidRPr="00670FB0">
        <w:rPr>
          <w:rStyle w:val="normaltextrun"/>
          <w:rFonts w:ascii="Arial" w:hAnsi="Arial" w:cs="Arial"/>
          <w:sz w:val="18"/>
          <w:szCs w:val="18"/>
        </w:rPr>
        <w:t xml:space="preserve">, </w:t>
      </w:r>
      <w:r w:rsidR="007E05F1" w:rsidRPr="00940AA9">
        <w:rPr>
          <w:rFonts w:ascii="Arial" w:eastAsia="Times New Roman" w:hAnsi="Arial" w:cs="Arial"/>
          <w:sz w:val="18"/>
          <w:szCs w:val="18"/>
          <w:lang w:eastAsia="pt-BR"/>
        </w:rPr>
        <w:t>lavrando</w:t>
      </w:r>
      <w:r w:rsidR="007E05F1">
        <w:rPr>
          <w:rFonts w:ascii="Arial" w:eastAsia="Times New Roman" w:hAnsi="Arial" w:cs="Arial"/>
          <w:sz w:val="18"/>
          <w:szCs w:val="18"/>
          <w:lang w:eastAsia="pt-BR"/>
        </w:rPr>
        <w:t xml:space="preserve">-se o respectivo </w:t>
      </w:r>
      <w:r w:rsidR="007E05F1" w:rsidRPr="00670FB0">
        <w:rPr>
          <w:rFonts w:ascii="Arial" w:eastAsia="Times New Roman" w:hAnsi="Arial" w:cs="Arial"/>
          <w:sz w:val="18"/>
          <w:szCs w:val="18"/>
          <w:u w:val="single"/>
          <w:lang w:eastAsia="pt-BR"/>
        </w:rPr>
        <w:t>Auto de Penhora</w:t>
      </w:r>
      <w:r w:rsidR="007E05F1" w:rsidRPr="007E05F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C2281CA" w14:textId="77777777" w:rsidR="007E05F1" w:rsidRPr="005A1955" w:rsidRDefault="007E05F1" w:rsidP="007E05F1">
      <w:pPr>
        <w:pStyle w:val="SemEspaamento"/>
        <w:rPr>
          <w:rFonts w:cs="Arial"/>
          <w:b/>
          <w:sz w:val="18"/>
          <w:szCs w:val="18"/>
          <w:lang w:eastAsia="pt-BR"/>
        </w:rPr>
      </w:pPr>
    </w:p>
    <w:p w14:paraId="6E2CFA05" w14:textId="7C5F84F1" w:rsidR="00BB7540" w:rsidRDefault="00BB7540" w:rsidP="00BB7540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lang w:eastAsia="pt-BR"/>
        </w:rPr>
        <w:t>2</w:t>
      </w:r>
      <w:r w:rsidRPr="00346E91">
        <w:rPr>
          <w:rFonts w:cs="Arial"/>
          <w:b/>
          <w:sz w:val="18"/>
          <w:szCs w:val="18"/>
          <w:lang w:eastAsia="pt-BR"/>
        </w:rPr>
        <w:t xml:space="preserve">. </w:t>
      </w:r>
      <w:r w:rsidRPr="00346E91">
        <w:rPr>
          <w:rFonts w:cs="Arial"/>
          <w:b/>
          <w:sz w:val="18"/>
          <w:szCs w:val="18"/>
          <w:u w:val="single"/>
        </w:rPr>
        <w:t>ADVERTÊNCIA</w:t>
      </w:r>
      <w:r w:rsidRPr="00346E9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à parte executada de</w:t>
      </w:r>
      <w:r w:rsidRPr="00346E91">
        <w:rPr>
          <w:rFonts w:cs="Arial"/>
          <w:sz w:val="18"/>
          <w:szCs w:val="18"/>
        </w:rPr>
        <w:t xml:space="preserve"> que</w:t>
      </w:r>
      <w:r w:rsidR="004B3FF4">
        <w:rPr>
          <w:rFonts w:cs="Arial"/>
          <w:sz w:val="18"/>
          <w:szCs w:val="18"/>
        </w:rPr>
        <w:t xml:space="preserve"> c</w:t>
      </w:r>
      <w:r>
        <w:rPr>
          <w:rFonts w:cs="Arial"/>
          <w:sz w:val="18"/>
          <w:szCs w:val="18"/>
        </w:rPr>
        <w:t xml:space="preserve">onsidera-se conduta </w:t>
      </w:r>
      <w:r w:rsidRPr="001B2024">
        <w:rPr>
          <w:rFonts w:cs="Arial"/>
          <w:sz w:val="18"/>
          <w:szCs w:val="18"/>
        </w:rPr>
        <w:t>atentatória à dignidade da justiça</w:t>
      </w:r>
      <w:r w:rsidRPr="00721CD7">
        <w:rPr>
          <w:rFonts w:cs="Arial"/>
          <w:sz w:val="18"/>
          <w:szCs w:val="18"/>
        </w:rPr>
        <w:t xml:space="preserve"> </w:t>
      </w:r>
      <w:r w:rsidRPr="001B2024">
        <w:rPr>
          <w:rFonts w:cs="Arial"/>
          <w:sz w:val="18"/>
          <w:szCs w:val="18"/>
        </w:rPr>
        <w:t>dificulta</w:t>
      </w:r>
      <w:r>
        <w:rPr>
          <w:rFonts w:cs="Arial"/>
          <w:sz w:val="18"/>
          <w:szCs w:val="18"/>
        </w:rPr>
        <w:t>r</w:t>
      </w:r>
      <w:r w:rsidRPr="001B2024">
        <w:rPr>
          <w:rFonts w:cs="Arial"/>
          <w:sz w:val="18"/>
          <w:szCs w:val="18"/>
        </w:rPr>
        <w:t xml:space="preserve"> ou embaraça</w:t>
      </w:r>
      <w:r>
        <w:rPr>
          <w:rFonts w:cs="Arial"/>
          <w:sz w:val="18"/>
          <w:szCs w:val="18"/>
        </w:rPr>
        <w:t>r</w:t>
      </w:r>
      <w:r w:rsidRPr="001B2024">
        <w:rPr>
          <w:rFonts w:cs="Arial"/>
          <w:sz w:val="18"/>
          <w:szCs w:val="18"/>
        </w:rPr>
        <w:t xml:space="preserve"> a realização da</w:t>
      </w:r>
      <w:r>
        <w:rPr>
          <w:rFonts w:cs="Arial"/>
          <w:sz w:val="18"/>
          <w:szCs w:val="18"/>
        </w:rPr>
        <w:t xml:space="preserve"> penhora (art. 774, CPC), sujeito à aplicação de</w:t>
      </w:r>
      <w:r w:rsidRPr="001B2024">
        <w:rPr>
          <w:rFonts w:cs="Arial"/>
          <w:sz w:val="18"/>
          <w:szCs w:val="18"/>
        </w:rPr>
        <w:t xml:space="preserve"> multa </w:t>
      </w:r>
      <w:r>
        <w:rPr>
          <w:rFonts w:cs="Arial"/>
          <w:sz w:val="18"/>
          <w:szCs w:val="18"/>
        </w:rPr>
        <w:t>de até 20%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1B2024">
        <w:rPr>
          <w:rFonts w:cs="Arial"/>
          <w:sz w:val="18"/>
          <w:szCs w:val="18"/>
        </w:rPr>
        <w:t>vinte por cento</w:t>
      </w:r>
      <w:r>
        <w:rPr>
          <w:rFonts w:cs="Arial"/>
          <w:sz w:val="18"/>
          <w:szCs w:val="18"/>
        </w:rPr>
        <w:t>)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 valor atualizado do débito</w:t>
      </w:r>
      <w:r w:rsidR="006B2C74">
        <w:rPr>
          <w:rFonts w:cs="Arial"/>
          <w:sz w:val="18"/>
          <w:szCs w:val="18"/>
        </w:rPr>
        <w:t>.</w:t>
      </w:r>
    </w:p>
    <w:p w14:paraId="59086502" w14:textId="77777777" w:rsidR="00BB7540" w:rsidRDefault="00BB7540" w:rsidP="00BB7540">
      <w:pPr>
        <w:pStyle w:val="SemEspaamento"/>
        <w:rPr>
          <w:rFonts w:cs="Arial"/>
          <w:sz w:val="18"/>
          <w:szCs w:val="18"/>
        </w:rPr>
      </w:pPr>
    </w:p>
    <w:p w14:paraId="46CE74D9" w14:textId="77777777" w:rsidR="007E05F1" w:rsidRPr="00317A9B" w:rsidRDefault="007E05F1" w:rsidP="007E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2DDCB0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Feita a penhora</w:t>
      </w:r>
      <w:r w:rsidRPr="02DDCB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 deverá pro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ceder à</w:t>
      </w:r>
      <w:r w:rsidRPr="02DDCB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 w:rsidRPr="02DDCB0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2D9F387" w14:textId="777C1473" w:rsidR="007E05F1" w:rsidRPr="005A1955" w:rsidRDefault="00BB7540" w:rsidP="007E05F1">
      <w:pPr>
        <w:spacing w:after="0"/>
        <w:jc w:val="both"/>
        <w:rPr>
          <w:rStyle w:val="normaltextrun"/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 w:rsidR="007E05F1" w:rsidRPr="005A195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7E05F1" w:rsidRPr="005A195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E05F1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="007E05F1" w:rsidRPr="00D85EF2">
        <w:rPr>
          <w:rFonts w:ascii="Arial" w:eastAsia="Times New Roman" w:hAnsi="Arial" w:cs="Arial"/>
          <w:sz w:val="18"/>
          <w:szCs w:val="18"/>
          <w:lang w:eastAsia="pt-BR"/>
        </w:rPr>
        <w:t xml:space="preserve"> ato de penhora</w:t>
      </w:r>
      <w:r w:rsidR="007E05F1" w:rsidRPr="005A1955">
        <w:rPr>
          <w:rStyle w:val="normaltextrun"/>
          <w:rFonts w:ascii="Arial" w:hAnsi="Arial" w:cs="Arial"/>
          <w:bCs/>
          <w:sz w:val="18"/>
          <w:szCs w:val="18"/>
        </w:rPr>
        <w:t xml:space="preserve"> </w:t>
      </w:r>
      <w:r w:rsidR="007E05F1">
        <w:rPr>
          <w:rStyle w:val="normaltextrun"/>
          <w:rFonts w:ascii="Arial" w:hAnsi="Arial" w:cs="Arial"/>
          <w:bCs/>
          <w:sz w:val="18"/>
          <w:szCs w:val="18"/>
        </w:rPr>
        <w:t xml:space="preserve">e de </w:t>
      </w:r>
      <w:r w:rsidR="007E05F1" w:rsidRPr="005A1955">
        <w:rPr>
          <w:rStyle w:val="normaltextrun"/>
          <w:rFonts w:ascii="Arial" w:hAnsi="Arial" w:cs="Arial"/>
          <w:bCs/>
          <w:sz w:val="18"/>
          <w:szCs w:val="18"/>
        </w:rPr>
        <w:t xml:space="preserve">que poderá apresentar </w:t>
      </w:r>
      <w:r w:rsidR="007E05F1" w:rsidRPr="00CD246A">
        <w:rPr>
          <w:rStyle w:val="normaltextrun"/>
          <w:rFonts w:ascii="Arial" w:hAnsi="Arial" w:cs="Arial"/>
          <w:bCs/>
          <w:sz w:val="18"/>
          <w:szCs w:val="18"/>
          <w:u w:val="single"/>
        </w:rPr>
        <w:t xml:space="preserve">impugnação à </w:t>
      </w:r>
      <w:r w:rsidR="004B3FF4">
        <w:rPr>
          <w:rStyle w:val="normaltextrun"/>
          <w:rFonts w:ascii="Arial" w:hAnsi="Arial" w:cs="Arial"/>
          <w:bCs/>
          <w:sz w:val="18"/>
          <w:szCs w:val="18"/>
          <w:u w:val="single"/>
        </w:rPr>
        <w:t>penhora</w:t>
      </w:r>
      <w:r w:rsidR="007E05F1" w:rsidRPr="005A1955">
        <w:rPr>
          <w:rStyle w:val="normaltextrun"/>
          <w:rFonts w:ascii="Arial" w:hAnsi="Arial" w:cs="Arial"/>
          <w:bCs/>
          <w:sz w:val="18"/>
          <w:szCs w:val="18"/>
        </w:rPr>
        <w:t xml:space="preserve">, no </w:t>
      </w:r>
      <w:r w:rsidR="007E05F1" w:rsidRPr="005A1955">
        <w:rPr>
          <w:rStyle w:val="normaltextrun"/>
          <w:rFonts w:ascii="Arial" w:hAnsi="Arial" w:cs="Arial"/>
          <w:b/>
          <w:sz w:val="18"/>
          <w:szCs w:val="18"/>
        </w:rPr>
        <w:t>prazo de 15 (quinze) dias úteis</w:t>
      </w:r>
      <w:r w:rsidR="007E05F1" w:rsidRPr="005A1955">
        <w:rPr>
          <w:rStyle w:val="normaltextrun"/>
          <w:rFonts w:ascii="Arial" w:hAnsi="Arial" w:cs="Arial"/>
          <w:sz w:val="18"/>
          <w:szCs w:val="18"/>
        </w:rPr>
        <w:t>,</w:t>
      </w:r>
      <w:r w:rsidR="007E05F1" w:rsidRPr="005A1955">
        <w:rPr>
          <w:rStyle w:val="normaltextrun"/>
          <w:rFonts w:ascii="Arial" w:hAnsi="Arial" w:cs="Arial"/>
          <w:bCs/>
          <w:sz w:val="18"/>
          <w:szCs w:val="18"/>
        </w:rPr>
        <w:t xml:space="preserve"> contados </w:t>
      </w:r>
      <w:r w:rsidR="00D16EB2">
        <w:rPr>
          <w:rStyle w:val="normaltextrun"/>
          <w:rFonts w:ascii="Arial" w:hAnsi="Arial" w:cs="Arial"/>
          <w:bCs/>
          <w:sz w:val="18"/>
          <w:szCs w:val="18"/>
        </w:rPr>
        <w:t>de sua intimação</w:t>
      </w:r>
      <w:r w:rsidR="007E05F1" w:rsidRPr="005A195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7E05F1" w:rsidRPr="005A1955">
        <w:rPr>
          <w:rStyle w:val="normaltextrun"/>
          <w:rFonts w:ascii="Arial" w:hAnsi="Arial" w:cs="Arial"/>
          <w:bCs/>
          <w:sz w:val="18"/>
          <w:szCs w:val="18"/>
        </w:rPr>
        <w:t>(art. 525,</w:t>
      </w:r>
      <w:r w:rsidR="007E05F1" w:rsidRPr="005A1955">
        <w:rPr>
          <w:rFonts w:ascii="Arial" w:hAnsi="Arial" w:cs="Arial"/>
        </w:rPr>
        <w:t xml:space="preserve"> </w:t>
      </w:r>
      <w:r w:rsidR="007E05F1" w:rsidRPr="005A1955">
        <w:rPr>
          <w:rStyle w:val="normaltextrun"/>
          <w:rFonts w:ascii="Arial" w:hAnsi="Arial" w:cs="Arial"/>
          <w:bCs/>
          <w:sz w:val="18"/>
          <w:szCs w:val="18"/>
        </w:rPr>
        <w:t>§ 11, CPC).</w:t>
      </w:r>
    </w:p>
    <w:p w14:paraId="4D748282" w14:textId="0AFC0B3C" w:rsidR="007E05F1" w:rsidRPr="005A1955" w:rsidRDefault="00BB7540" w:rsidP="007E05F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 w:rsidR="007E05F1" w:rsidRPr="00364232">
        <w:rPr>
          <w:rFonts w:ascii="Arial" w:eastAsia="Times New Roman" w:hAnsi="Arial" w:cs="Arial"/>
          <w:b/>
          <w:sz w:val="18"/>
          <w:szCs w:val="18"/>
          <w:lang w:eastAsia="pt-BR"/>
        </w:rPr>
        <w:t>.1.</w:t>
      </w:r>
      <w:r w:rsidR="007E05F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>Recaindo a penhora sobre bem imóvel ou direito real sobre imóvel</w:t>
      </w:r>
      <w:r w:rsidR="004B3FF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 e sendo o(a) executado(a) casado(a), o Sr(a). Oficial</w:t>
      </w:r>
      <w:r w:rsidR="00AD79CC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 deverá também </w:t>
      </w:r>
      <w:r w:rsidR="007E05F1" w:rsidRPr="005A195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INTIMAR 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>o(a)</w:t>
      </w:r>
      <w:r w:rsidR="007E05F1" w:rsidRPr="005A195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CÔNJUGE </w:t>
      </w:r>
      <w:r w:rsidR="007E05F1" w:rsidRPr="005A1955">
        <w:rPr>
          <w:rFonts w:ascii="Arial" w:eastAsia="Times New Roman" w:hAnsi="Arial" w:cs="Arial"/>
          <w:bCs/>
          <w:sz w:val="18"/>
          <w:szCs w:val="18"/>
          <w:lang w:eastAsia="pt-BR"/>
        </w:rPr>
        <w:t>deste(a)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E24D58">
        <w:rPr>
          <w:rFonts w:ascii="Arial" w:eastAsia="Times New Roman" w:hAnsi="Arial" w:cs="Arial"/>
          <w:sz w:val="18"/>
          <w:szCs w:val="18"/>
          <w:lang w:eastAsia="pt-BR"/>
        </w:rPr>
        <w:t>exceto</w:t>
      </w:r>
      <w:r w:rsidR="00E24D58" w:rsidRPr="005A195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E05F1" w:rsidRPr="005A1955">
        <w:rPr>
          <w:rFonts w:ascii="Arial" w:eastAsia="Times New Roman" w:hAnsi="Arial" w:cs="Arial"/>
          <w:sz w:val="18"/>
          <w:szCs w:val="18"/>
          <w:lang w:eastAsia="pt-BR"/>
        </w:rPr>
        <w:t>se forem casados em regime de separação absoluta de bens (art. 842, CPC).</w:t>
      </w:r>
    </w:p>
    <w:p w14:paraId="24784B15" w14:textId="77777777" w:rsidR="004B3FF4" w:rsidRDefault="004B3FF4" w:rsidP="007E05F1">
      <w:pPr>
        <w:pStyle w:val="SemEspaamen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7C1E4B56" w14:textId="0C9FC44E" w:rsidR="007E05F1" w:rsidRDefault="00BB7540" w:rsidP="007E05F1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4</w:t>
      </w:r>
      <w:r w:rsidR="007E05F1" w:rsidRPr="000D28FD">
        <w:rPr>
          <w:rFonts w:eastAsia="Times New Roman" w:cs="Arial"/>
          <w:b/>
          <w:bCs/>
          <w:sz w:val="18"/>
          <w:szCs w:val="18"/>
          <w:lang w:eastAsia="pt-BR"/>
        </w:rPr>
        <w:t xml:space="preserve">. </w:t>
      </w:r>
      <w:r w:rsidR="007E05F1" w:rsidRPr="00346E91">
        <w:rPr>
          <w:rFonts w:eastAsia="Arial" w:cs="Arial"/>
          <w:b/>
          <w:bCs/>
          <w:sz w:val="18"/>
          <w:szCs w:val="18"/>
          <w:u w:val="single"/>
          <w:lang w:eastAsia="pt-BR"/>
        </w:rPr>
        <w:t>AVALIAÇÃO</w:t>
      </w:r>
      <w:r w:rsidR="007E05F1" w:rsidRPr="00670FB0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="007E05F1">
        <w:rPr>
          <w:rFonts w:eastAsia="Times New Roman" w:cs="Arial"/>
          <w:sz w:val="18"/>
          <w:szCs w:val="18"/>
          <w:lang w:eastAsia="pt-BR"/>
        </w:rPr>
        <w:t xml:space="preserve">dos bens penhorados e lavratura de </w:t>
      </w:r>
      <w:r w:rsidR="007E05F1" w:rsidRPr="00670FB0">
        <w:rPr>
          <w:rFonts w:eastAsia="Times New Roman" w:cs="Arial"/>
          <w:sz w:val="18"/>
          <w:szCs w:val="18"/>
          <w:u w:val="single"/>
          <w:lang w:eastAsia="pt-BR"/>
        </w:rPr>
        <w:t>laudo de vistoria</w:t>
      </w:r>
      <w:r w:rsidR="007E05F1">
        <w:rPr>
          <w:rFonts w:eastAsia="Times New Roman" w:cs="Arial"/>
          <w:sz w:val="18"/>
          <w:szCs w:val="18"/>
          <w:lang w:eastAsia="pt-BR"/>
        </w:rPr>
        <w:t>, com a descrição de</w:t>
      </w:r>
      <w:r w:rsidR="007E05F1" w:rsidRPr="00B01380">
        <w:rPr>
          <w:rFonts w:eastAsia="Times New Roman" w:cs="Arial"/>
          <w:sz w:val="18"/>
          <w:szCs w:val="18"/>
          <w:lang w:eastAsia="pt-BR"/>
        </w:rPr>
        <w:t xml:space="preserve"> suas características e o estado em que se encontram</w:t>
      </w:r>
      <w:r w:rsidR="007E05F1">
        <w:rPr>
          <w:rFonts w:eastAsia="Times New Roman" w:cs="Arial"/>
          <w:sz w:val="18"/>
          <w:szCs w:val="18"/>
          <w:lang w:eastAsia="pt-BR"/>
        </w:rPr>
        <w:t xml:space="preserve">, anexando-o ao Auto de Penhora (art. 872, CPC). Caso não possa proceder à avaliação por depender de conhecimentos especializados, </w:t>
      </w:r>
      <w:r w:rsidR="007E05F1" w:rsidRPr="00670FB0">
        <w:rPr>
          <w:rFonts w:eastAsia="Times New Roman" w:cs="Arial"/>
          <w:sz w:val="18"/>
          <w:szCs w:val="18"/>
          <w:lang w:eastAsia="pt-BR"/>
        </w:rPr>
        <w:t>deverá comunicar</w:t>
      </w:r>
      <w:r w:rsidR="007E05F1">
        <w:rPr>
          <w:rFonts w:eastAsia="Times New Roman" w:cs="Arial"/>
          <w:sz w:val="18"/>
          <w:szCs w:val="18"/>
          <w:lang w:eastAsia="pt-BR"/>
        </w:rPr>
        <w:t xml:space="preserve"> o Juízo para que seja nomeado avaliador (art. 870, </w:t>
      </w:r>
      <w:r w:rsidR="004B3FF4">
        <w:rPr>
          <w:rFonts w:eastAsia="Times New Roman" w:cs="Arial"/>
          <w:sz w:val="18"/>
          <w:szCs w:val="18"/>
          <w:lang w:eastAsia="pt-BR"/>
        </w:rPr>
        <w:t xml:space="preserve">parágrafo único, </w:t>
      </w:r>
      <w:r w:rsidR="007E05F1">
        <w:rPr>
          <w:rFonts w:eastAsia="Times New Roman" w:cs="Arial"/>
          <w:sz w:val="18"/>
          <w:szCs w:val="18"/>
          <w:lang w:eastAsia="pt-BR"/>
        </w:rPr>
        <w:t>CPC).</w:t>
      </w:r>
    </w:p>
    <w:p w14:paraId="3524A414" w14:textId="77777777" w:rsidR="004B3FF4" w:rsidRDefault="004B3FF4" w:rsidP="007E05F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5D0AF50" w14:textId="35E534BA" w:rsidR="007E05F1" w:rsidRDefault="00BB7540" w:rsidP="007E05F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7E05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7E05F1" w:rsidRPr="00670FB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 w:rsidR="007E05F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7E05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7E05F1">
        <w:rPr>
          <w:rFonts w:ascii="Arial" w:eastAsia="Times New Roman" w:hAnsi="Arial" w:cs="Arial"/>
          <w:sz w:val="18"/>
          <w:szCs w:val="18"/>
          <w:lang w:eastAsia="pt-BR"/>
        </w:rPr>
        <w:t xml:space="preserve">de que o(a) </w:t>
      </w:r>
      <w:r w:rsidR="007E05F1" w:rsidRPr="00AD79CC">
        <w:rPr>
          <w:rFonts w:ascii="Arial" w:eastAsia="Times New Roman" w:hAnsi="Arial" w:cs="Arial"/>
          <w:sz w:val="18"/>
          <w:szCs w:val="18"/>
          <w:u w:val="single"/>
          <w:lang w:eastAsia="pt-BR"/>
        </w:rPr>
        <w:t>executado(a)</w:t>
      </w:r>
      <w:r w:rsidR="007E05F1">
        <w:rPr>
          <w:rFonts w:ascii="Arial" w:eastAsia="Times New Roman" w:hAnsi="Arial" w:cs="Arial"/>
          <w:sz w:val="18"/>
          <w:szCs w:val="18"/>
          <w:lang w:eastAsia="pt-BR"/>
        </w:rPr>
        <w:t xml:space="preserve"> fica como </w:t>
      </w:r>
      <w:r w:rsidR="007E05F1">
        <w:rPr>
          <w:rFonts w:ascii="Arial" w:eastAsia="Times New Roman" w:hAnsi="Arial" w:cs="Arial"/>
          <w:sz w:val="18"/>
          <w:szCs w:val="18"/>
          <w:u w:val="single"/>
          <w:lang w:eastAsia="pt-BR"/>
        </w:rPr>
        <w:t>depositário(a) do(s) bem(ns) penhorado(s)</w:t>
      </w:r>
      <w:r w:rsidR="007E05F1">
        <w:rPr>
          <w:rFonts w:ascii="Arial" w:eastAsia="Times New Roman" w:hAnsi="Arial" w:cs="Arial"/>
          <w:sz w:val="18"/>
          <w:szCs w:val="18"/>
          <w:lang w:eastAsia="pt-BR"/>
        </w:rPr>
        <w:t xml:space="preserve"> (arts. 838, inc. IV, e 840, CPC) e da responsabilidade cabível ao depositário infiel (art. 161, parágrafo único, CPC).</w:t>
      </w:r>
    </w:p>
    <w:p w14:paraId="0384916F" w14:textId="77777777" w:rsidR="007E05F1" w:rsidRDefault="007E05F1" w:rsidP="00346E91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</w:pPr>
    </w:p>
    <w:p w14:paraId="36F00852" w14:textId="6E296634" w:rsidR="00324F20" w:rsidRDefault="00324F20" w:rsidP="007E05F1">
      <w:pPr>
        <w:spacing w:after="0" w:line="240" w:lineRule="auto"/>
        <w:jc w:val="both"/>
        <w:rPr>
          <w:rFonts w:cs="Arial"/>
          <w:sz w:val="18"/>
          <w:szCs w:val="18"/>
        </w:rPr>
      </w:pPr>
      <w:r w:rsidRPr="02DDCB0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Não encontrando quaisquer bens penhoráveis</w:t>
      </w:r>
      <w:r w:rsidRPr="02DDCB09">
        <w:rPr>
          <w:rFonts w:ascii="Arial" w:eastAsia="Times New Roman" w:hAnsi="Arial" w:cs="Arial"/>
          <w:sz w:val="18"/>
          <w:szCs w:val="18"/>
          <w:lang w:eastAsia="pt-BR"/>
        </w:rPr>
        <w:t xml:space="preserve">, deverá descrever na certidão os que guarnecem a residência ou o estabelecimento do devedor (art. 836, § </w:t>
      </w:r>
      <w:r w:rsidR="004B3FF4">
        <w:rPr>
          <w:rFonts w:ascii="Arial" w:eastAsia="Times New Roman" w:hAnsi="Arial" w:cs="Arial"/>
          <w:sz w:val="18"/>
          <w:szCs w:val="18"/>
          <w:lang w:eastAsia="pt-BR"/>
        </w:rPr>
        <w:t>1</w:t>
      </w:r>
      <w:r w:rsidRPr="02DDCB09">
        <w:rPr>
          <w:rFonts w:ascii="Arial" w:eastAsia="Times New Roman" w:hAnsi="Arial" w:cs="Arial"/>
          <w:sz w:val="18"/>
          <w:szCs w:val="18"/>
          <w:lang w:eastAsia="pt-BR"/>
        </w:rPr>
        <w:t>º, CPC), bem como se existe outra pessoa instalada no local e possíveis informações a respeito.</w:t>
      </w:r>
    </w:p>
    <w:p w14:paraId="342A4BB6" w14:textId="0EABF88B" w:rsidR="0011345F" w:rsidRDefault="0011345F" w:rsidP="00721CD7">
      <w:pPr>
        <w:pStyle w:val="SemEspaamento"/>
        <w:rPr>
          <w:rFonts w:cs="Arial"/>
          <w:sz w:val="18"/>
          <w:szCs w:val="18"/>
        </w:rPr>
      </w:pPr>
    </w:p>
    <w:p w14:paraId="5E594E44" w14:textId="7E73091D" w:rsidR="00FA267C" w:rsidRDefault="00FA267C" w:rsidP="00FA267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6.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03BD4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DF09BB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57F46256" w14:textId="77777777" w:rsidR="00AD79CC" w:rsidRDefault="00E24D58" w:rsidP="00E24D58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_)_____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(  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30922F1D" w14:textId="69861584" w:rsidR="00E24D58" w:rsidRPr="002A0A2D" w:rsidRDefault="00E24D58" w:rsidP="00E24D58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73262DC5" w14:textId="4542BE6B" w:rsidR="00E24D58" w:rsidRPr="00305494" w:rsidRDefault="00E24D58" w:rsidP="00E24D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AD79CC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66AA3B7" w14:textId="77777777" w:rsidR="00F03B81" w:rsidRPr="00346E91" w:rsidRDefault="00F03B81" w:rsidP="00721CD7">
      <w:pPr>
        <w:pStyle w:val="SemEspaamento"/>
        <w:rPr>
          <w:rFonts w:cs="Arial"/>
          <w:sz w:val="18"/>
          <w:szCs w:val="18"/>
        </w:rPr>
      </w:pPr>
    </w:p>
    <w:p w14:paraId="1BC4A1B6" w14:textId="2C8FED82" w:rsidR="006B57F1" w:rsidRDefault="006B57F1" w:rsidP="006B57F1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AD79CC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17C844E" w14:textId="77777777" w:rsidR="006B57F1" w:rsidRDefault="006B57F1" w:rsidP="006B57F1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33AA05F" w14:textId="77777777" w:rsidR="004B3FF4" w:rsidRDefault="004B3FF4" w:rsidP="004B3FF4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3B2733F4" w14:textId="77777777" w:rsidR="004B3FF4" w:rsidRPr="00995BCF" w:rsidRDefault="004B3FF4" w:rsidP="004B3FF4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6A00F081" w14:textId="77777777" w:rsidR="004B3FF4" w:rsidRPr="0074680E" w:rsidRDefault="004B3FF4" w:rsidP="004B3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5F06D6A7" w14:textId="4E667E6D" w:rsidR="0029372B" w:rsidRDefault="004B3FF4" w:rsidP="00F03B81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CB44" w14:textId="77777777" w:rsidR="002C3B94" w:rsidRDefault="002C3B94" w:rsidP="002C3B94">
      <w:pPr>
        <w:spacing w:after="0" w:line="240" w:lineRule="auto"/>
      </w:pPr>
      <w:r>
        <w:separator/>
      </w:r>
    </w:p>
  </w:endnote>
  <w:endnote w:type="continuationSeparator" w:id="0">
    <w:p w14:paraId="017CD1CF" w14:textId="77777777" w:rsidR="002C3B94" w:rsidRDefault="002C3B94" w:rsidP="002C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B8E9" w14:textId="77777777" w:rsidR="002C3B94" w:rsidRDefault="002C3B94" w:rsidP="002C3B94">
      <w:pPr>
        <w:spacing w:after="0" w:line="240" w:lineRule="auto"/>
      </w:pPr>
      <w:r>
        <w:separator/>
      </w:r>
    </w:p>
  </w:footnote>
  <w:footnote w:type="continuationSeparator" w:id="0">
    <w:p w14:paraId="1884D0D8" w14:textId="77777777" w:rsidR="002C3B94" w:rsidRDefault="002C3B94" w:rsidP="002C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414B1AD6"/>
    <w:multiLevelType w:val="multilevel"/>
    <w:tmpl w:val="FD3C9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94"/>
    <w:rsid w:val="0003500D"/>
    <w:rsid w:val="000C26CE"/>
    <w:rsid w:val="0011345F"/>
    <w:rsid w:val="001A1181"/>
    <w:rsid w:val="001B2024"/>
    <w:rsid w:val="0029372B"/>
    <w:rsid w:val="002C3B94"/>
    <w:rsid w:val="002F1C66"/>
    <w:rsid w:val="00303DBC"/>
    <w:rsid w:val="00324F20"/>
    <w:rsid w:val="00346E91"/>
    <w:rsid w:val="003E1D8A"/>
    <w:rsid w:val="00410AB0"/>
    <w:rsid w:val="00461547"/>
    <w:rsid w:val="00482DA3"/>
    <w:rsid w:val="004953D2"/>
    <w:rsid w:val="004B0E49"/>
    <w:rsid w:val="004B3FF4"/>
    <w:rsid w:val="00517225"/>
    <w:rsid w:val="00626C94"/>
    <w:rsid w:val="006B2C74"/>
    <w:rsid w:val="006B57F1"/>
    <w:rsid w:val="00721CD7"/>
    <w:rsid w:val="007808D5"/>
    <w:rsid w:val="007E05F1"/>
    <w:rsid w:val="007F778D"/>
    <w:rsid w:val="0090653D"/>
    <w:rsid w:val="00A24C15"/>
    <w:rsid w:val="00AD79CC"/>
    <w:rsid w:val="00B03BD4"/>
    <w:rsid w:val="00BB7540"/>
    <w:rsid w:val="00BF32AE"/>
    <w:rsid w:val="00C35115"/>
    <w:rsid w:val="00C6046C"/>
    <w:rsid w:val="00CB7EBB"/>
    <w:rsid w:val="00CD246A"/>
    <w:rsid w:val="00D16EB2"/>
    <w:rsid w:val="00D85EF2"/>
    <w:rsid w:val="00D920A3"/>
    <w:rsid w:val="00DF09BB"/>
    <w:rsid w:val="00E24D58"/>
    <w:rsid w:val="00E508C5"/>
    <w:rsid w:val="00F03B81"/>
    <w:rsid w:val="00F273F2"/>
    <w:rsid w:val="00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D22"/>
  <w15:chartTrackingRefBased/>
  <w15:docId w15:val="{CBC55E4A-30E4-4D11-ABCE-6FD7E315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2C3B94"/>
    <w:rPr>
      <w:vertAlign w:val="superscript"/>
    </w:rPr>
  </w:style>
  <w:style w:type="paragraph" w:styleId="SemEspaamento">
    <w:name w:val="No Spacing"/>
    <w:uiPriority w:val="1"/>
    <w:qFormat/>
    <w:rsid w:val="002C3B94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2C3B94"/>
  </w:style>
  <w:style w:type="paragraph" w:customStyle="1" w:styleId="paragraph">
    <w:name w:val="paragraph"/>
    <w:basedOn w:val="Normal"/>
    <w:rsid w:val="002C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3B9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508C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EF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24C1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A26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26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26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6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6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19</cp:revision>
  <dcterms:created xsi:type="dcterms:W3CDTF">2022-10-11T18:38:00Z</dcterms:created>
  <dcterms:modified xsi:type="dcterms:W3CDTF">2023-11-13T20:13:00Z</dcterms:modified>
</cp:coreProperties>
</file>